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8BE36" w14:textId="5FCF34F7" w:rsidR="00E60709" w:rsidRPr="00CB51D8" w:rsidRDefault="0022063D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sml.</w:t>
      </w:r>
      <w:r w:rsidR="00D821F0" w:rsidRPr="00CB51D8">
        <w:rPr>
          <w:rFonts w:ascii="Segoe UI" w:hAnsi="Segoe UI" w:cs="Segoe UI"/>
          <w:bCs/>
          <w:sz w:val="20"/>
        </w:rPr>
        <w:t xml:space="preserve"> 7700100448_1/VB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Rychnov u Jablonce nad Nisou</w:t>
      </w:r>
    </w:p>
    <w:p w14:paraId="1C0058C9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 xml:space="preserve">Husova 490, 46802 Rychnov u Jablonce nad Nisou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00262552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CZ00262552</w:t>
      </w:r>
    </w:p>
    <w:p w14:paraId="36D6B6B3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  <w:t>Bc. Tomáš Levinský, starosta města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ČS, a.s.</w:t>
      </w:r>
    </w:p>
    <w:p w14:paraId="2E7055F9" w14:textId="77777777" w:rsidR="006257CD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963232349/0800</w:t>
      </w:r>
    </w:p>
    <w:p w14:paraId="3BF1D1C5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6324DC86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</w:t>
      </w:r>
      <w:r w:rsidR="00FD38AD">
        <w:rPr>
          <w:rFonts w:ascii="Segoe UI" w:hAnsi="Segoe UI" w:cs="Segoe UI"/>
          <w:b/>
          <w:i/>
        </w:rPr>
        <w:t>“</w:t>
      </w:r>
      <w:r w:rsidR="00D742F5" w:rsidRPr="00CB51D8">
        <w:rPr>
          <w:rFonts w:ascii="Segoe UI" w:hAnsi="Segoe UI" w:cs="Segoe UI"/>
          <w:b/>
          <w:i/>
        </w:rPr>
        <w:t xml:space="preserve"> 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7A89BF99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GasNet, s.r.o.</w:t>
      </w:r>
    </w:p>
    <w:p w14:paraId="11884BEB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285B51" w:rsidRPr="00CB51D8">
        <w:rPr>
          <w:rFonts w:ascii="Segoe UI" w:hAnsi="Segoe UI" w:cs="Segoe UI"/>
        </w:rPr>
        <w:t>Klíšská 940/96, Klíše, 400 01 Ústí nad Labem</w:t>
      </w:r>
    </w:p>
    <w:p w14:paraId="34D52940" w14:textId="77777777" w:rsidR="003C1AD7" w:rsidRPr="00CB51D8" w:rsidRDefault="003C1AD7" w:rsidP="003C1AD7">
      <w:pPr>
        <w:ind w:left="2124" w:hanging="212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23083 vedená u Krajského soudu v Ústí nad Labem</w:t>
      </w:r>
    </w:p>
    <w:p w14:paraId="709C3C89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27295567</w:t>
      </w:r>
    </w:p>
    <w:p w14:paraId="34CB4E21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CZ27295567</w:t>
      </w:r>
    </w:p>
    <w:p w14:paraId="7681134A" w14:textId="77777777" w:rsidR="003C1AD7" w:rsidRPr="00CB51D8" w:rsidRDefault="00944C61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Z</w:t>
      </w:r>
      <w:r w:rsidR="003C1AD7" w:rsidRPr="00CB51D8">
        <w:rPr>
          <w:rFonts w:ascii="Segoe UI" w:hAnsi="Segoe UI" w:cs="Segoe UI"/>
          <w:b/>
          <w:bCs/>
        </w:rPr>
        <w:t>astoupen</w:t>
      </w:r>
      <w:r w:rsidR="000261AE" w:rsidRPr="00CB51D8">
        <w:rPr>
          <w:rFonts w:ascii="Segoe UI" w:hAnsi="Segoe UI" w:cs="Segoe UI"/>
          <w:b/>
          <w:bCs/>
        </w:rPr>
        <w:t>a</w:t>
      </w:r>
      <w:r w:rsidR="003C1AD7" w:rsidRPr="00CB51D8">
        <w:rPr>
          <w:rFonts w:ascii="Segoe UI" w:hAnsi="Segoe UI" w:cs="Segoe UI"/>
          <w:b/>
          <w:bCs/>
        </w:rPr>
        <w:t xml:space="preserve"> na základě plné moci společností </w:t>
      </w:r>
    </w:p>
    <w:p w14:paraId="50CDECC7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</w:p>
    <w:p w14:paraId="0701618B" w14:textId="7FC14C4B" w:rsidR="003C1AD7" w:rsidRPr="00CB51D8" w:rsidRDefault="00D118A8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  <w:b/>
          <w:bCs/>
        </w:rPr>
        <w:t>GasNet Služby, s.r.o.</w:t>
      </w:r>
    </w:p>
    <w:p w14:paraId="5B07BD67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D0292D" w:rsidRPr="00CB51D8">
        <w:rPr>
          <w:rFonts w:ascii="Segoe UI" w:hAnsi="Segoe UI" w:cs="Segoe UI"/>
        </w:rPr>
        <w:t>Plynárenská 499/1, Zábrdovice, 602 00 Brno</w:t>
      </w:r>
    </w:p>
    <w:p w14:paraId="52FA0331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57165 vedená u Krajského soudu v Brně</w:t>
      </w:r>
    </w:p>
    <w:p w14:paraId="5C59426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27935311</w:t>
      </w:r>
    </w:p>
    <w:p w14:paraId="6755F7F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CZ27935311</w:t>
      </w:r>
    </w:p>
    <w:p w14:paraId="684B4B66" w14:textId="77777777" w:rsidR="00561066" w:rsidRPr="002F18AA" w:rsidRDefault="00561066" w:rsidP="00561066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2B986AE3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Markéta Kaňková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vedoucí oddělení správy nemovitého majetku - Čechy východ</w:t>
      </w:r>
    </w:p>
    <w:p w14:paraId="11495059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Ing. Barbora Mazurová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technik správy nemovitého majetku</w:t>
      </w:r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182CE5FC" w14:textId="77777777" w:rsidR="00FD38AD" w:rsidRDefault="00FD38AD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</w:rPr>
      </w:pPr>
    </w:p>
    <w:p w14:paraId="3A98AE64" w14:textId="77777777" w:rsidR="00460309" w:rsidRPr="00CB51D8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44C55BAB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r w:rsidR="00D119E0" w:rsidRPr="00F14530">
        <w:rPr>
          <w:rFonts w:ascii="Segoe UI" w:hAnsi="Segoe UI" w:cs="Segoe UI"/>
        </w:rPr>
        <w:t>pozemků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parc. č. </w:t>
      </w:r>
      <w:r w:rsidR="00D119E0" w:rsidRPr="00F14530">
        <w:rPr>
          <w:rFonts w:ascii="Segoe UI" w:hAnsi="Segoe UI" w:cs="Segoe UI"/>
          <w:b/>
          <w:bCs/>
          <w:noProof/>
        </w:rPr>
        <w:t>31/2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34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35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205/2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531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556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580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586/2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586/3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587/1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588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826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10001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k.ú.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Liberecký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Jablonec nad Nisou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2FAFD076" w14:textId="3A12FEDE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>REKO MS Rychnov - Školní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7700100448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111,16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 xml:space="preserve">m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6DD00F5" w14:textId="77777777" w:rsidR="00460309" w:rsidRPr="00CB51D8" w:rsidRDefault="00460309" w:rsidP="00672510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677A726C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lastRenderedPageBreak/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18D1DD9F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 xml:space="preserve">Rozsah věcného břemene </w:t>
      </w:r>
      <w:r w:rsidR="00FD38AD">
        <w:rPr>
          <w:rFonts w:ascii="Segoe UI" w:hAnsi="Segoe UI" w:cs="Segoe UI"/>
        </w:rPr>
        <w:t xml:space="preserve">pro STL plynárenské zařízení </w:t>
      </w:r>
      <w:r w:rsidRPr="00CB51D8">
        <w:rPr>
          <w:rFonts w:ascii="Segoe UI" w:hAnsi="Segoe UI" w:cs="Segoe UI"/>
        </w:rPr>
        <w:t>je stanoven a vyznačen</w:t>
      </w:r>
      <w:r w:rsidR="00BA3952" w:rsidRPr="00CB51D8">
        <w:rPr>
          <w:rFonts w:ascii="Segoe UI" w:hAnsi="Segoe UI" w:cs="Segoe UI"/>
        </w:rPr>
        <w:t xml:space="preserve"> v geometrickém plánu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2128-1872/2023 </w:t>
      </w:r>
      <w:r w:rsidR="00BA3952" w:rsidRPr="00CB51D8">
        <w:rPr>
          <w:rFonts w:ascii="Segoe UI" w:hAnsi="Segoe UI" w:cs="Segoe UI"/>
        </w:rPr>
        <w:t xml:space="preserve">ze dne </w:t>
      </w:r>
      <w:r w:rsidR="00BA3952" w:rsidRPr="00CB51D8">
        <w:rPr>
          <w:rFonts w:ascii="Segoe UI" w:hAnsi="Segoe UI" w:cs="Segoe UI"/>
          <w:noProof/>
        </w:rPr>
        <w:t>02.02.2024</w:t>
      </w:r>
      <w:r w:rsidR="00BA3952" w:rsidRPr="00CB51D8">
        <w:rPr>
          <w:rFonts w:ascii="Segoe UI" w:hAnsi="Segoe UI" w:cs="Segoe UI"/>
        </w:rPr>
        <w:t xml:space="preserve">, </w:t>
      </w:r>
      <w:r w:rsidR="00DF7C0F" w:rsidRPr="00CB51D8">
        <w:rPr>
          <w:rFonts w:ascii="Segoe UI" w:hAnsi="Segoe UI" w:cs="Segoe UI"/>
        </w:rPr>
        <w:t xml:space="preserve">který </w:t>
      </w:r>
      <w:r w:rsidR="00BA3952" w:rsidRPr="00CB51D8">
        <w:rPr>
          <w:rFonts w:ascii="Segoe UI" w:hAnsi="Segoe UI" w:cs="Segoe UI"/>
        </w:rPr>
        <w:t>vyhotov</w:t>
      </w:r>
      <w:r w:rsidR="00DF7C0F" w:rsidRPr="00CB51D8">
        <w:rPr>
          <w:rFonts w:ascii="Segoe UI" w:hAnsi="Segoe UI" w:cs="Segoe UI"/>
        </w:rPr>
        <w:t>il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>GK Dvořáček s. r. o.</w:t>
      </w:r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potvr</w:t>
      </w:r>
      <w:r w:rsidR="00DF7C0F" w:rsidRPr="00CB51D8">
        <w:rPr>
          <w:rFonts w:ascii="Segoe UI" w:hAnsi="Segoe UI" w:cs="Segoe UI"/>
        </w:rPr>
        <w:t>dil</w:t>
      </w:r>
      <w:r w:rsidR="00BA3952" w:rsidRPr="00CB51D8">
        <w:rPr>
          <w:rFonts w:ascii="Segoe UI" w:hAnsi="Segoe UI" w:cs="Segoe UI"/>
        </w:rPr>
        <w:t xml:space="preserve"> dne </w:t>
      </w:r>
      <w:r w:rsidR="00BA3952" w:rsidRPr="00CB51D8">
        <w:rPr>
          <w:rFonts w:ascii="Segoe UI" w:hAnsi="Segoe UI" w:cs="Segoe UI"/>
          <w:noProof/>
        </w:rPr>
        <w:t>07.02.2024 Katastrální úřad pro Liberecký kraj</w:t>
      </w:r>
      <w:r w:rsidR="00BA3952" w:rsidRPr="00CB51D8">
        <w:rPr>
          <w:rFonts w:ascii="Segoe UI" w:hAnsi="Segoe UI" w:cs="Segoe UI"/>
        </w:rPr>
        <w:t xml:space="preserve">, katastrální pracoviště </w:t>
      </w:r>
      <w:r w:rsidR="00BA3952" w:rsidRPr="00CB51D8">
        <w:rPr>
          <w:rFonts w:ascii="Segoe UI" w:hAnsi="Segoe UI" w:cs="Segoe UI"/>
          <w:noProof/>
        </w:rPr>
        <w:t>Jablonec nad Nisou</w:t>
      </w:r>
      <w:r w:rsidR="00BA3952" w:rsidRPr="00CB51D8">
        <w:rPr>
          <w:rFonts w:ascii="Segoe UI" w:hAnsi="Segoe UI" w:cs="Segoe UI"/>
        </w:rPr>
        <w:t xml:space="preserve">. </w:t>
      </w:r>
      <w:r w:rsidR="00FD38AD" w:rsidRPr="00CB51D8">
        <w:rPr>
          <w:rFonts w:ascii="Segoe UI" w:hAnsi="Segoe UI" w:cs="Segoe UI"/>
        </w:rPr>
        <w:t xml:space="preserve">Rozsah věcného břemene </w:t>
      </w:r>
      <w:r w:rsidR="00FD38AD">
        <w:rPr>
          <w:rFonts w:ascii="Segoe UI" w:hAnsi="Segoe UI" w:cs="Segoe UI"/>
        </w:rPr>
        <w:t xml:space="preserve">pro </w:t>
      </w:r>
      <w:r w:rsidR="00FD38AD">
        <w:rPr>
          <w:rFonts w:ascii="Segoe UI" w:hAnsi="Segoe UI" w:cs="Segoe UI"/>
        </w:rPr>
        <w:t>N</w:t>
      </w:r>
      <w:r w:rsidR="00FD38AD">
        <w:rPr>
          <w:rFonts w:ascii="Segoe UI" w:hAnsi="Segoe UI" w:cs="Segoe UI"/>
        </w:rPr>
        <w:t xml:space="preserve">TL plynárenské zařízení </w:t>
      </w:r>
      <w:r w:rsidR="00FD38AD" w:rsidRPr="00CB51D8">
        <w:rPr>
          <w:rFonts w:ascii="Segoe UI" w:hAnsi="Segoe UI" w:cs="Segoe UI"/>
        </w:rPr>
        <w:t xml:space="preserve">je stanoven a vyznačen v geometrickém plánu č. </w:t>
      </w:r>
      <w:r w:rsidR="00FD38AD" w:rsidRPr="00CB51D8">
        <w:rPr>
          <w:rFonts w:ascii="Segoe UI" w:hAnsi="Segoe UI" w:cs="Segoe UI"/>
          <w:noProof/>
        </w:rPr>
        <w:t>212</w:t>
      </w:r>
      <w:r w:rsidR="00FD38AD">
        <w:rPr>
          <w:rFonts w:ascii="Segoe UI" w:hAnsi="Segoe UI" w:cs="Segoe UI"/>
          <w:noProof/>
        </w:rPr>
        <w:t>9</w:t>
      </w:r>
      <w:r w:rsidR="00FD38AD" w:rsidRPr="00CB51D8">
        <w:rPr>
          <w:rFonts w:ascii="Segoe UI" w:hAnsi="Segoe UI" w:cs="Segoe UI"/>
          <w:noProof/>
        </w:rPr>
        <w:t xml:space="preserve">-1872/2023 </w:t>
      </w:r>
      <w:r w:rsidR="00FD38AD" w:rsidRPr="00CB51D8">
        <w:rPr>
          <w:rFonts w:ascii="Segoe UI" w:hAnsi="Segoe UI" w:cs="Segoe UI"/>
        </w:rPr>
        <w:t xml:space="preserve">ze dne </w:t>
      </w:r>
      <w:r w:rsidR="00FD38AD">
        <w:rPr>
          <w:rFonts w:ascii="Segoe UI" w:hAnsi="Segoe UI" w:cs="Segoe UI"/>
          <w:noProof/>
        </w:rPr>
        <w:t>24</w:t>
      </w:r>
      <w:r w:rsidR="00FD38AD" w:rsidRPr="00CB51D8">
        <w:rPr>
          <w:rFonts w:ascii="Segoe UI" w:hAnsi="Segoe UI" w:cs="Segoe UI"/>
          <w:noProof/>
        </w:rPr>
        <w:t>.0</w:t>
      </w:r>
      <w:r w:rsidR="00FD38AD">
        <w:rPr>
          <w:rFonts w:ascii="Segoe UI" w:hAnsi="Segoe UI" w:cs="Segoe UI"/>
          <w:noProof/>
        </w:rPr>
        <w:t>1</w:t>
      </w:r>
      <w:r w:rsidR="00FD38AD" w:rsidRPr="00CB51D8">
        <w:rPr>
          <w:rFonts w:ascii="Segoe UI" w:hAnsi="Segoe UI" w:cs="Segoe UI"/>
          <w:noProof/>
        </w:rPr>
        <w:t>.2024</w:t>
      </w:r>
      <w:r w:rsidR="00FD38AD" w:rsidRPr="00CB51D8">
        <w:rPr>
          <w:rFonts w:ascii="Segoe UI" w:hAnsi="Segoe UI" w:cs="Segoe UI"/>
        </w:rPr>
        <w:t xml:space="preserve">, který vyhotovil </w:t>
      </w:r>
      <w:r w:rsidR="00FD38AD" w:rsidRPr="00CB51D8">
        <w:rPr>
          <w:rFonts w:ascii="Segoe UI" w:hAnsi="Segoe UI" w:cs="Segoe UI"/>
          <w:noProof/>
        </w:rPr>
        <w:t>GK Dvořáček s. r. o. a</w:t>
      </w:r>
      <w:r w:rsidR="00FD38AD" w:rsidRPr="00CB51D8">
        <w:rPr>
          <w:rFonts w:ascii="Segoe UI" w:hAnsi="Segoe UI" w:cs="Segoe UI"/>
        </w:rPr>
        <w:t xml:space="preserve"> potvrdil dne </w:t>
      </w:r>
      <w:r w:rsidR="00FD38AD" w:rsidRPr="00CB51D8">
        <w:rPr>
          <w:rFonts w:ascii="Segoe UI" w:hAnsi="Segoe UI" w:cs="Segoe UI"/>
          <w:noProof/>
        </w:rPr>
        <w:t>0</w:t>
      </w:r>
      <w:r w:rsidR="00FD38AD">
        <w:rPr>
          <w:rFonts w:ascii="Segoe UI" w:hAnsi="Segoe UI" w:cs="Segoe UI"/>
          <w:noProof/>
        </w:rPr>
        <w:t>1</w:t>
      </w:r>
      <w:r w:rsidR="00FD38AD" w:rsidRPr="00CB51D8">
        <w:rPr>
          <w:rFonts w:ascii="Segoe UI" w:hAnsi="Segoe UI" w:cs="Segoe UI"/>
          <w:noProof/>
        </w:rPr>
        <w:t>.02.2024 Katastrální úřad pro Liberecký kraj</w:t>
      </w:r>
      <w:r w:rsidR="00FD38AD" w:rsidRPr="00CB51D8">
        <w:rPr>
          <w:rFonts w:ascii="Segoe UI" w:hAnsi="Segoe UI" w:cs="Segoe UI"/>
        </w:rPr>
        <w:t xml:space="preserve">, katastrální pracoviště </w:t>
      </w:r>
      <w:r w:rsidR="00FD38AD" w:rsidRPr="00CB51D8">
        <w:rPr>
          <w:rFonts w:ascii="Segoe UI" w:hAnsi="Segoe UI" w:cs="Segoe UI"/>
          <w:noProof/>
        </w:rPr>
        <w:t>Jablonec nad Nisou</w:t>
      </w:r>
      <w:r w:rsidR="00FD38AD" w:rsidRPr="00CB51D8">
        <w:rPr>
          <w:rFonts w:ascii="Segoe UI" w:hAnsi="Segoe UI" w:cs="Segoe UI"/>
        </w:rPr>
        <w:t>.</w:t>
      </w:r>
      <w:r w:rsidR="00FD38AD">
        <w:rPr>
          <w:rFonts w:ascii="Segoe UI" w:hAnsi="Segoe UI" w:cs="Segoe UI"/>
        </w:rPr>
        <w:t xml:space="preserve"> Oba geometrické</w:t>
      </w:r>
      <w:r w:rsidR="00BA3952" w:rsidRPr="00CB51D8">
        <w:rPr>
          <w:rFonts w:ascii="Segoe UI" w:hAnsi="Segoe UI" w:cs="Segoe UI"/>
        </w:rPr>
        <w:t xml:space="preserve"> plán</w:t>
      </w:r>
      <w:r w:rsidR="00FD38AD">
        <w:rPr>
          <w:rFonts w:ascii="Segoe UI" w:hAnsi="Segoe UI" w:cs="Segoe UI"/>
        </w:rPr>
        <w:t>y</w:t>
      </w:r>
      <w:r w:rsidR="00BA3952" w:rsidRPr="00CB51D8">
        <w:rPr>
          <w:rFonts w:ascii="Segoe UI" w:hAnsi="Segoe UI" w:cs="Segoe UI"/>
        </w:rPr>
        <w:t xml:space="preserve"> tvoří nedílnou součást této smlouvy.</w:t>
      </w: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Pr="00CB51D8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4AD2BBE5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77.293,59</w:t>
      </w:r>
      <w:r w:rsidR="00B77319" w:rsidRPr="00CB51D8">
        <w:rPr>
          <w:rFonts w:ascii="Segoe UI" w:hAnsi="Segoe UI" w:cs="Segoe UI"/>
          <w:noProof/>
        </w:rPr>
        <w:t>,-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Pr="00CB51D8">
        <w:rPr>
          <w:rFonts w:ascii="Segoe UI" w:hAnsi="Segoe UI" w:cs="Segoe UI"/>
          <w:noProof/>
        </w:rPr>
        <w:t>Sedmdesátsedmtisícdvěstědevadesáttři korun českých padesátdevět haléřů</w:t>
      </w:r>
      <w:r w:rsidRPr="00CB51D8">
        <w:rPr>
          <w:rFonts w:ascii="Segoe UI" w:hAnsi="Segoe UI" w:cs="Segoe UI"/>
        </w:rPr>
        <w:t xml:space="preserve">)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77777777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63.879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Kč, základní sazba daně z přidané hodnoty 21 %, vypočtená daň 13.414,59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Kč. Úplata včetně daně z přidané hodnoty činí 77.293,59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 (slovy Sedmdesátsedmtisícdvěstědevadesáttři korun českých padesátdevět haléřů).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7700100448_1/VB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462FEC56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na výše uvedený účet povinného </w:t>
      </w:r>
      <w:r w:rsidRPr="00CB51D8">
        <w:rPr>
          <w:rFonts w:ascii="Segoe UI" w:hAnsi="Segoe UI" w:cs="Segoe UI"/>
          <w:noProof/>
        </w:rPr>
        <w:t xml:space="preserve">úplatu 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77777777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r w:rsidR="005B37D0" w:rsidRPr="00CB51D8">
        <w:rPr>
          <w:rFonts w:ascii="Segoe UI" w:hAnsi="Segoe UI" w:cs="Segoe UI"/>
          <w:b/>
          <w:i/>
        </w:rPr>
        <w:t>ZoDPH</w:t>
      </w:r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33887B8A" w14:textId="77777777" w:rsidR="00EC004D" w:rsidRPr="00CB51D8" w:rsidRDefault="00EC004D" w:rsidP="00634930">
      <w:pPr>
        <w:rPr>
          <w:rFonts w:ascii="Segoe UI" w:hAnsi="Segoe UI" w:cs="Segoe UI"/>
        </w:rPr>
      </w:pP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Pr="00CB51D8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lastRenderedPageBreak/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34E606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Pr="00CB51D8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Pr="00CB51D8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5FB6EE43" w14:textId="77777777" w:rsidR="00AB3627" w:rsidRDefault="00AB3627" w:rsidP="00AB3627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3B8BCC29" w14:textId="07DF6875" w:rsidR="008D7FA2" w:rsidRPr="00CB51D8" w:rsidRDefault="00AB3627" w:rsidP="00AB362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</w:rPr>
        <w:t>VIII.</w:t>
      </w:r>
      <w:r>
        <w:rPr>
          <w:rFonts w:ascii="Segoe UI" w:hAnsi="Segoe UI" w:cs="Segoe UI"/>
        </w:rPr>
        <w:t xml:space="preserve"> </w:t>
      </w:r>
    </w:p>
    <w:p w14:paraId="69D2761E" w14:textId="77777777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77777777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Uzavření této smlouvy bylo schváleno usnesením ................................. č. ……ze dne…..</w:t>
      </w:r>
    </w:p>
    <w:p w14:paraId="3DE156DF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08CE8B65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76C6681F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34956393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6219D10C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1375A09D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229F660D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581AD158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17DE07E5" w14:textId="77777777" w:rsidR="00FD38AD" w:rsidRDefault="00FD38AD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46F5C111" w14:textId="2A8F9772" w:rsidR="00561066" w:rsidRPr="002F18AA" w:rsidRDefault="00561066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lastRenderedPageBreak/>
        <w:t xml:space="preserve">V </w:t>
      </w:r>
      <w:r w:rsidR="00FD38AD" w:rsidRPr="00CB51D8">
        <w:rPr>
          <w:rFonts w:ascii="Segoe UI" w:hAnsi="Segoe UI" w:cs="Segoe UI"/>
          <w:noProof/>
        </w:rPr>
        <w:t>Rychnov</w:t>
      </w:r>
      <w:r w:rsidR="00FD38AD">
        <w:rPr>
          <w:rFonts w:ascii="Segoe UI" w:hAnsi="Segoe UI" w:cs="Segoe UI"/>
          <w:noProof/>
        </w:rPr>
        <w:t>ě</w:t>
      </w:r>
      <w:r w:rsidR="00FD38AD" w:rsidRPr="00CB51D8">
        <w:rPr>
          <w:rFonts w:ascii="Segoe UI" w:hAnsi="Segoe UI" w:cs="Segoe UI"/>
          <w:noProof/>
        </w:rPr>
        <w:t xml:space="preserve"> u Jablonce nad Nisou</w:t>
      </w:r>
      <w:r w:rsidR="00FD38AD" w:rsidRPr="002F18AA">
        <w:rPr>
          <w:rFonts w:ascii="Segoe UI" w:hAnsi="Segoe UI" w:cs="Segoe UI"/>
        </w:rPr>
        <w:t xml:space="preserve"> </w:t>
      </w:r>
      <w:r w:rsidRPr="002F18AA">
        <w:rPr>
          <w:rFonts w:ascii="Segoe UI" w:hAnsi="Segoe UI" w:cs="Segoe UI"/>
        </w:rPr>
        <w:t>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 xml:space="preserve">V </w:t>
      </w:r>
      <w:r w:rsidR="00FD38AD">
        <w:rPr>
          <w:rFonts w:ascii="Segoe UI" w:hAnsi="Segoe UI" w:cs="Segoe UI"/>
          <w:iCs/>
        </w:rPr>
        <w:t>Praze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6287314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Markéta Kaňková</w:t>
            </w:r>
          </w:p>
          <w:p w14:paraId="41DF0D4F" w14:textId="77777777" w:rsidR="00FD38AD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vedoucí oddělení správy nemovitého</w:t>
            </w:r>
          </w:p>
          <w:p w14:paraId="08D3B89C" w14:textId="250E75D4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majetku - Čechy východ</w:t>
            </w:r>
          </w:p>
          <w:p w14:paraId="3D5DF35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4E89333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Ing. Barbora Mazurová</w:t>
            </w:r>
          </w:p>
          <w:p w14:paraId="196406C9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technik správy nemovitého majetku</w:t>
            </w:r>
          </w:p>
          <w:p w14:paraId="1B6B64CA" w14:textId="4E25E9A5" w:rsidR="00561066" w:rsidRDefault="00561066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46E933E0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58797779" w14:textId="77777777" w:rsidR="00FD38AD" w:rsidRDefault="00FD38AD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Bc. Tomáš Levinský</w:t>
            </w:r>
          </w:p>
          <w:p w14:paraId="4A6C57BB" w14:textId="3BE19763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starosta města</w:t>
            </w:r>
          </w:p>
          <w:p w14:paraId="396E73A8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bookmarkStart w:id="0" w:name="_GoBack"/>
      <w:bookmarkEnd w:id="0"/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E4624" w16cid:durableId="232978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2CCED" w14:textId="77777777" w:rsidR="00207D9C" w:rsidRDefault="00207D9C">
      <w:r>
        <w:separator/>
      </w:r>
    </w:p>
  </w:endnote>
  <w:endnote w:type="continuationSeparator" w:id="0">
    <w:p w14:paraId="4A66D270" w14:textId="77777777" w:rsidR="00207D9C" w:rsidRDefault="0020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C29D" w14:textId="197E8519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FD38AD">
      <w:rPr>
        <w:rFonts w:ascii="Segoe UI" w:hAnsi="Segoe UI" w:cs="Arial"/>
        <w:noProof/>
        <w:sz w:val="16"/>
        <w:szCs w:val="16"/>
      </w:rPr>
      <w:t>2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FD38AD">
      <w:rPr>
        <w:rFonts w:ascii="Segoe UI" w:hAnsi="Segoe UI" w:cs="Arial"/>
        <w:noProof/>
        <w:sz w:val="16"/>
        <w:szCs w:val="16"/>
      </w:rPr>
      <w:t>4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6F93B" w14:textId="77777777" w:rsidR="00207D9C" w:rsidRDefault="00207D9C">
      <w:r>
        <w:separator/>
      </w:r>
    </w:p>
  </w:footnote>
  <w:footnote w:type="continuationSeparator" w:id="0">
    <w:p w14:paraId="288D84AD" w14:textId="77777777" w:rsidR="00207D9C" w:rsidRDefault="0020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4"/>
  </w:num>
  <w:num w:numId="5">
    <w:abstractNumId w:val="25"/>
  </w:num>
  <w:num w:numId="6">
    <w:abstractNumId w:val="14"/>
  </w:num>
  <w:num w:numId="7">
    <w:abstractNumId w:val="1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3"/>
  </w:num>
  <w:num w:numId="11">
    <w:abstractNumId w:val="31"/>
  </w:num>
  <w:num w:numId="12">
    <w:abstractNumId w:val="4"/>
  </w:num>
  <w:num w:numId="13">
    <w:abstractNumId w:val="15"/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29"/>
  </w:num>
  <w:num w:numId="19">
    <w:abstractNumId w:val="7"/>
  </w:num>
  <w:num w:numId="20">
    <w:abstractNumId w:val="18"/>
  </w:num>
  <w:num w:numId="21">
    <w:abstractNumId w:val="8"/>
  </w:num>
  <w:num w:numId="22">
    <w:abstractNumId w:val="28"/>
  </w:num>
  <w:num w:numId="23">
    <w:abstractNumId w:val="9"/>
  </w:num>
  <w:num w:numId="24">
    <w:abstractNumId w:val="10"/>
  </w:num>
  <w:num w:numId="25">
    <w:abstractNumId w:val="21"/>
  </w:num>
  <w:num w:numId="26">
    <w:abstractNumId w:val="22"/>
  </w:num>
  <w:num w:numId="27">
    <w:abstractNumId w:val="26"/>
  </w:num>
  <w:num w:numId="28">
    <w:abstractNumId w:val="1"/>
  </w:num>
  <w:num w:numId="29">
    <w:abstractNumId w:val="3"/>
  </w:num>
  <w:num w:numId="30">
    <w:abstractNumId w:val="19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07D9C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4300"/>
    <w:rsid w:val="00345D13"/>
    <w:rsid w:val="00352A33"/>
    <w:rsid w:val="00352BDA"/>
    <w:rsid w:val="00354A67"/>
    <w:rsid w:val="00355B93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2A79"/>
    <w:rsid w:val="0065183C"/>
    <w:rsid w:val="00664407"/>
    <w:rsid w:val="00672510"/>
    <w:rsid w:val="006747A0"/>
    <w:rsid w:val="00675C0E"/>
    <w:rsid w:val="00675E4C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B29FA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63CA9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3627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60D22"/>
    <w:rsid w:val="00D61A9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530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38AD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  <w:style w:type="paragraph" w:customStyle="1" w:styleId="TableTextNormal">
    <w:name w:val="Table Text Normal"/>
    <w:basedOn w:val="Normln"/>
    <w:next w:val="Normln"/>
    <w:rsid w:val="00AB3627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D7D5C206BC48978A0D7C8D1F28D7" ma:contentTypeVersion="31" ma:contentTypeDescription="Vytvoří nový dokument" ma:contentTypeScope="" ma:versionID="d69b5c2733afa95c7bf5953f6687caa7">
  <xsd:schema xmlns:xsd="http://www.w3.org/2001/XMLSchema" xmlns:xs="http://www.w3.org/2001/XMLSchema" xmlns:p="http://schemas.microsoft.com/office/2006/metadata/properties" xmlns:ns2="9b44bc28-8373-45ed-b7f9-1858ed6ed110" xmlns:ns3="2e656b09-2859-46b8-a2c8-845710b21425" xmlns:ns4="c5abf140-a1f5-4e49-a4b4-2082a890eb77" targetNamespace="http://schemas.microsoft.com/office/2006/metadata/properties" ma:root="true" ma:fieldsID="a5c722f7e27a1250efb95e6f193ea6ac" ns2:_="" ns3:_="" ns4:_="">
    <xsd:import namespace="9b44bc28-8373-45ed-b7f9-1858ed6ed110"/>
    <xsd:import namespace="2e656b09-2859-46b8-a2c8-845710b21425"/>
    <xsd:import namespace="c5abf140-a1f5-4e49-a4b4-2082a890eb77"/>
    <xsd:element name="properties">
      <xsd:complexType>
        <xsd:sequence>
          <xsd:element name="documentManagement">
            <xsd:complexType>
              <xsd:all>
                <xsd:element ref="ns2:release" minOccurs="0"/>
                <xsd:element ref="ns2:stav" minOccurs="0"/>
                <xsd:element ref="ns2:rok" minOccurs="0"/>
                <xsd:element ref="ns2:ac_entry_x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proces_x002d_aplikace" minOccurs="0"/>
                <xsd:element ref="ns2:typ_x0020_dokumentace" minOccurs="0"/>
                <xsd:element ref="ns2:zm_x011b_nov_x00fd__x0020_po_x017e_adavek" minOccurs="0"/>
                <xsd:element ref="ns2:integrace" minOccurs="0"/>
                <xsd:element ref="ns2:zodpov_x011b_dnos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bc28-8373-45ed-b7f9-1858ed6ed110" elementFormDefault="qualified">
    <xsd:import namespace="http://schemas.microsoft.com/office/2006/documentManagement/types"/>
    <xsd:import namespace="http://schemas.microsoft.com/office/infopath/2007/PartnerControls"/>
    <xsd:element name="release" ma:index="4" nillable="true" ma:displayName="release" ma:internalName="release" ma:readOnly="false">
      <xsd:simpleType>
        <xsd:restriction base="dms:Text">
          <xsd:maxLength value="255"/>
        </xsd:restriction>
      </xsd:simpleType>
    </xsd:element>
    <xsd:element name="stav" ma:index="5" nillable="true" ma:displayName="stav" ma:default="V realizaci" ma:format="Dropdown" ma:internalName="stav" ma:readOnly="false">
      <xsd:simpleType>
        <xsd:restriction base="dms:Choice">
          <xsd:enumeration value="V realizaci"/>
          <xsd:enumeration value="Uzavřeno"/>
        </xsd:restriction>
      </xsd:simpleType>
    </xsd:element>
    <xsd:element name="rok" ma:index="6" nillable="true" ma:displayName="rok" ma:internalName="rok" ma:readOnly="false">
      <xsd:simpleType>
        <xsd:restriction base="dms:Text">
          <xsd:maxLength value="255"/>
        </xsd:restriction>
      </xsd:simpleType>
    </xsd:element>
    <xsd:element name="ac_entry_xid" ma:index="7" nillable="true" ma:displayName="ac_entry_xid" ma:internalName="ac_entry_xi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proces_x002d_aplikace" ma:index="15" nillable="true" ma:displayName="proces-aplikace" ma:description="proces/aplikace" ma:internalName="proces_x002d_aplikace">
      <xsd:simpleType>
        <xsd:restriction base="dms:Text">
          <xsd:maxLength value="255"/>
        </xsd:restriction>
      </xsd:simpleType>
    </xsd:element>
    <xsd:element name="typ_x0020_dokumentace" ma:index="16" nillable="true" ma:displayName="typ dokumentace" ma:default="Technická dokumentace" ma:format="Dropdown" ma:internalName="typ_x0020_dokumentace">
      <xsd:simpleType>
        <xsd:restriction base="dms:Choice">
          <xsd:enumeration value="Technická dokumentace"/>
          <xsd:enumeration value="Uživatelská dokumentace"/>
          <xsd:enumeration value="Customizace"/>
          <xsd:enumeration value="Cílový koncept"/>
          <xsd:enumeration value="Datový model"/>
        </xsd:restriction>
      </xsd:simpleType>
    </xsd:element>
    <xsd:element name="zm_x011b_nov_x00fd__x0020_po_x017e_adavek" ma:index="17" nillable="true" ma:displayName="změnový požadavek" ma:internalName="zm_x011b_nov_x00fd__x0020_po_x017e_adavek">
      <xsd:simpleType>
        <xsd:restriction base="dms:Text">
          <xsd:maxLength value="255"/>
        </xsd:restriction>
      </xsd:simpleType>
    </xsd:element>
    <xsd:element name="integrace" ma:index="18" nillable="true" ma:displayName="integrace" ma:internalName="integrace">
      <xsd:simpleType>
        <xsd:restriction base="dms:Text">
          <xsd:maxLength value="255"/>
        </xsd:restriction>
      </xsd:simpleType>
    </xsd:element>
    <xsd:element name="zodpov_x011b_dnost" ma:index="19" nillable="true" ma:displayName="zodpovědnost" ma:description="FICA zodpovědnost" ma:internalName="zodpov_x011b_dnost">
      <xsd:simpleType>
        <xsd:restriction base="dms:Text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6b09-2859-46b8-a2c8-845710b2142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f140-a1f5-4e49-a4b4-2082a890eb7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50d05aef-038c-4947-8bad-4c71bd6b3f23}" ma:internalName="TaxCatchAll" ma:showField="CatchAllData" ma:web="c5abf140-a1f5-4e49-a4b4-2082a890e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b44bc28-8373-45ed-b7f9-1858ed6ed110">V realizaci</stav>
    <typ_x0020_dokumentace xmlns="9b44bc28-8373-45ed-b7f9-1858ed6ed110">Technická dokumentace</typ_x0020_dokumentace>
    <TaxCatchAll xmlns="c5abf140-a1f5-4e49-a4b4-2082a890eb77" xsi:nil="true"/>
    <lcf76f155ced4ddcb4097134ff3c332f xmlns="9b44bc28-8373-45ed-b7f9-1858ed6ed110">
      <Terms xmlns="http://schemas.microsoft.com/office/infopath/2007/PartnerControls"/>
    </lcf76f155ced4ddcb4097134ff3c332f>
    <release xmlns="9b44bc28-8373-45ed-b7f9-1858ed6ed110" xsi:nil="true"/>
    <ac_entry_xid xmlns="9b44bc28-8373-45ed-b7f9-1858ed6ed110" xsi:nil="true"/>
    <zm_x011b_nov_x00fd__x0020_po_x017e_adavek xmlns="9b44bc28-8373-45ed-b7f9-1858ed6ed110" xsi:nil="true"/>
    <zodpov_x011b_dnost xmlns="9b44bc28-8373-45ed-b7f9-1858ed6ed110" xsi:nil="true"/>
    <integrace xmlns="9b44bc28-8373-45ed-b7f9-1858ed6ed110" xsi:nil="true"/>
    <rok xmlns="9b44bc28-8373-45ed-b7f9-1858ed6ed110" xsi:nil="true"/>
    <proces_x002d_aplikace xmlns="9b44bc28-8373-45ed-b7f9-1858ed6ed1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CE46-4961-45AC-ADF4-B2FCBCD53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bc28-8373-45ed-b7f9-1858ed6ed110"/>
    <ds:schemaRef ds:uri="2e656b09-2859-46b8-a2c8-845710b21425"/>
    <ds:schemaRef ds:uri="c5abf140-a1f5-4e49-a4b4-2082a890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</ds:schemaRefs>
</ds:datastoreItem>
</file>

<file path=customXml/itemProps3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EA713-C2BD-4E13-8670-63354CAA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1293</Words>
  <Characters>7632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Hana Kubů</cp:lastModifiedBy>
  <cp:revision>3</cp:revision>
  <cp:lastPrinted>2007-12-07T09:42:00Z</cp:lastPrinted>
  <dcterms:created xsi:type="dcterms:W3CDTF">2024-01-29T15:46:00Z</dcterms:created>
  <dcterms:modified xsi:type="dcterms:W3CDTF">2024-04-02T12:09:00Z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