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5F62" w14:textId="77777777" w:rsidR="007512CB" w:rsidRDefault="007512CB" w:rsidP="007512C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(město, městys) …</w:t>
      </w:r>
    </w:p>
    <w:p w14:paraId="035B02EE" w14:textId="77777777" w:rsidR="007512CB" w:rsidRDefault="007512CB" w:rsidP="007512CB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(města, městyse) …</w:t>
      </w:r>
    </w:p>
    <w:p w14:paraId="558C0D25" w14:textId="77777777" w:rsidR="007512CB" w:rsidRDefault="007512CB" w:rsidP="007512C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0099C5" w14:textId="7860423B" w:rsidR="00C01C4D" w:rsidRPr="00C01C4D" w:rsidRDefault="00C01C4D" w:rsidP="00C01C4D">
      <w:pPr>
        <w:keepNext/>
        <w:spacing w:after="0" w:line="276" w:lineRule="auto"/>
        <w:jc w:val="left"/>
        <w:rPr>
          <w:rFonts w:ascii="Arial" w:hAnsi="Arial" w:cs="Arial"/>
          <w:bCs/>
        </w:rPr>
      </w:pPr>
      <w:r w:rsidRPr="00C01C4D">
        <w:rPr>
          <w:rFonts w:ascii="Arial" w:hAnsi="Arial" w:cs="Arial"/>
          <w:bCs/>
        </w:rPr>
        <w:t xml:space="preserve">Číslo jednací: </w:t>
      </w:r>
    </w:p>
    <w:p w14:paraId="76D85E38" w14:textId="77777777" w:rsidR="00C01C4D" w:rsidRPr="00C01C4D" w:rsidRDefault="00C01C4D" w:rsidP="00C01C4D">
      <w:pPr>
        <w:keepNext/>
        <w:spacing w:after="0" w:line="276" w:lineRule="auto"/>
        <w:jc w:val="left"/>
        <w:rPr>
          <w:rFonts w:ascii="Arial" w:hAnsi="Arial" w:cs="Arial"/>
          <w:b/>
        </w:rPr>
      </w:pPr>
    </w:p>
    <w:p w14:paraId="72F3F80E" w14:textId="002555D6" w:rsidR="007512CB" w:rsidRDefault="00FB7C48" w:rsidP="007512C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OPATŘENÍ OBECNÉ POVAHY</w:t>
      </w:r>
    </w:p>
    <w:p w14:paraId="1480162B" w14:textId="77777777" w:rsidR="007512CB" w:rsidRDefault="007512CB" w:rsidP="007512CB">
      <w:pPr>
        <w:spacing w:line="276" w:lineRule="auto"/>
        <w:jc w:val="center"/>
        <w:rPr>
          <w:rFonts w:ascii="Arial" w:hAnsi="Arial" w:cs="Arial"/>
        </w:rPr>
      </w:pPr>
    </w:p>
    <w:p w14:paraId="7B871B7B" w14:textId="22164FC9" w:rsidR="008339B9" w:rsidRDefault="007512CB" w:rsidP="007512C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>
        <w:rPr>
          <w:rFonts w:ascii="Arial" w:hAnsi="Arial" w:cs="Arial"/>
          <w:color w:val="00B0F0"/>
        </w:rPr>
        <w:t xml:space="preserve">(města, městyse) </w:t>
      </w:r>
      <w:r>
        <w:rPr>
          <w:rFonts w:ascii="Arial" w:hAnsi="Arial" w:cs="Arial"/>
        </w:rPr>
        <w:t xml:space="preserve">… </w:t>
      </w:r>
      <w:r w:rsidR="005D05DE">
        <w:rPr>
          <w:rFonts w:ascii="Arial" w:hAnsi="Arial" w:cs="Arial"/>
        </w:rPr>
        <w:t xml:space="preserve">jako </w:t>
      </w:r>
      <w:r w:rsidR="0093519F">
        <w:rPr>
          <w:rFonts w:ascii="Arial" w:hAnsi="Arial" w:cs="Arial"/>
        </w:rPr>
        <w:t>příslušn</w:t>
      </w:r>
      <w:r w:rsidR="005D05DE">
        <w:rPr>
          <w:rFonts w:ascii="Arial" w:hAnsi="Arial" w:cs="Arial"/>
        </w:rPr>
        <w:t>ý správní orgán</w:t>
      </w:r>
      <w:r w:rsidR="0093519F">
        <w:rPr>
          <w:rFonts w:ascii="Arial" w:hAnsi="Arial" w:cs="Arial"/>
        </w:rPr>
        <w:t xml:space="preserve"> podle ustanovení § 12 odst. 1 písm. b) zákona č. 338/1992 Sb., o dani z nemovitých věcí, ve znění pozdějších předpisů (dále jen „zákon o dani z nemovitých věcí“) </w:t>
      </w:r>
      <w:r w:rsidR="008339B9" w:rsidRPr="008339B9">
        <w:rPr>
          <w:rFonts w:ascii="Arial" w:hAnsi="Arial" w:cs="Arial"/>
        </w:rPr>
        <w:t>a ve spojení s ustanovením § 171 a následujících zákona č. 500/2004 Sb., správní řád</w:t>
      </w:r>
      <w:r w:rsidR="004F4243">
        <w:rPr>
          <w:rFonts w:ascii="Arial" w:hAnsi="Arial" w:cs="Arial"/>
        </w:rPr>
        <w:t>, ve znění pozdějších předpisů</w:t>
      </w:r>
      <w:r w:rsidR="009617A5">
        <w:rPr>
          <w:rFonts w:ascii="Arial" w:hAnsi="Arial" w:cs="Arial"/>
        </w:rPr>
        <w:t>,</w:t>
      </w:r>
      <w:r w:rsidR="008339B9" w:rsidRPr="008339B9">
        <w:rPr>
          <w:rFonts w:ascii="Arial" w:hAnsi="Arial" w:cs="Arial"/>
        </w:rPr>
        <w:t xml:space="preserve"> </w:t>
      </w:r>
    </w:p>
    <w:p w14:paraId="5B86056D" w14:textId="0E468777" w:rsidR="007512CB" w:rsidRDefault="007512CB" w:rsidP="007512CB">
      <w:pPr>
        <w:spacing w:line="276" w:lineRule="auto"/>
        <w:rPr>
          <w:rFonts w:ascii="Arial" w:hAnsi="Arial" w:cs="Arial"/>
        </w:rPr>
      </w:pPr>
    </w:p>
    <w:p w14:paraId="42C7A3E4" w14:textId="49346063" w:rsidR="009617A5" w:rsidRPr="00402B0D" w:rsidRDefault="009617A5" w:rsidP="00402B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02B0D">
        <w:rPr>
          <w:rFonts w:ascii="Arial" w:hAnsi="Arial" w:cs="Arial"/>
          <w:b/>
          <w:sz w:val="24"/>
          <w:szCs w:val="24"/>
        </w:rPr>
        <w:t>V Y D Á V Á</w:t>
      </w:r>
    </w:p>
    <w:p w14:paraId="65087F5E" w14:textId="77777777" w:rsidR="009617A5" w:rsidRDefault="009617A5" w:rsidP="007512CB">
      <w:pPr>
        <w:spacing w:line="276" w:lineRule="auto"/>
        <w:rPr>
          <w:rFonts w:ascii="Arial" w:hAnsi="Arial" w:cs="Arial"/>
        </w:rPr>
      </w:pPr>
    </w:p>
    <w:p w14:paraId="7FC60CA8" w14:textId="498B6C68" w:rsidR="008339B9" w:rsidRDefault="009617A5" w:rsidP="00D711E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opatření obecné povahy, kterým se </w:t>
      </w:r>
      <w:r w:rsidR="00DC1F1E">
        <w:rPr>
          <w:rFonts w:ascii="Arial" w:hAnsi="Arial" w:cs="Arial"/>
        </w:rPr>
        <w:t>s</w:t>
      </w:r>
      <w:r w:rsidR="00D91144">
        <w:rPr>
          <w:rFonts w:ascii="Arial" w:hAnsi="Arial" w:cs="Arial"/>
        </w:rPr>
        <w:t>tanovuje</w:t>
      </w:r>
      <w:r w:rsidR="00DC1F1E">
        <w:rPr>
          <w:rFonts w:ascii="Arial" w:hAnsi="Arial" w:cs="Arial"/>
        </w:rPr>
        <w:t xml:space="preserve"> místní koeficient pro vymezené nemovité věci</w:t>
      </w:r>
      <w:r w:rsidR="0052225B">
        <w:rPr>
          <w:rFonts w:ascii="Arial" w:hAnsi="Arial" w:cs="Arial"/>
        </w:rPr>
        <w:t>,</w:t>
      </w:r>
      <w:r w:rsidR="00F93D0E">
        <w:rPr>
          <w:rFonts w:ascii="Arial" w:hAnsi="Arial" w:cs="Arial"/>
        </w:rPr>
        <w:t xml:space="preserve"> </w:t>
      </w:r>
      <w:r w:rsidR="00494836">
        <w:rPr>
          <w:rFonts w:ascii="Arial" w:hAnsi="Arial" w:cs="Arial"/>
        </w:rPr>
        <w:t>a to</w:t>
      </w:r>
      <w:r w:rsidR="00F93D0E">
        <w:rPr>
          <w:rFonts w:ascii="Arial" w:hAnsi="Arial" w:cs="Arial"/>
        </w:rPr>
        <w:t xml:space="preserve"> </w:t>
      </w:r>
      <w:bookmarkStart w:id="0" w:name="_Hlk161219669"/>
      <w:r w:rsidR="00494836">
        <w:rPr>
          <w:rFonts w:ascii="Arial" w:hAnsi="Arial" w:cs="Arial"/>
        </w:rPr>
        <w:t xml:space="preserve">pro </w:t>
      </w:r>
      <w:r w:rsidR="00F93D0E" w:rsidRPr="00494836">
        <w:rPr>
          <w:rFonts w:ascii="Arial" w:hAnsi="Arial" w:cs="Arial"/>
          <w:b/>
          <w:color w:val="00B0F0"/>
        </w:rPr>
        <w:t>pozemky, zdanitelné stavby a zdanitelné jednotky</w:t>
      </w:r>
      <w:bookmarkEnd w:id="0"/>
      <w:r w:rsidR="004061CA" w:rsidRPr="007C3202">
        <w:rPr>
          <w:rFonts w:ascii="Arial" w:hAnsi="Arial" w:cs="Arial"/>
          <w:sz w:val="20"/>
          <w:szCs w:val="20"/>
        </w:rPr>
        <w:t xml:space="preserve"> </w:t>
      </w:r>
      <w:r w:rsidR="00D711EF">
        <w:rPr>
          <w:rFonts w:ascii="Arial" w:hAnsi="Arial" w:cs="Arial"/>
        </w:rPr>
        <w:t>uvedené v</w:t>
      </w:r>
      <w:r w:rsidR="00624E0D">
        <w:rPr>
          <w:rFonts w:ascii="Arial" w:hAnsi="Arial" w:cs="Arial"/>
        </w:rPr>
        <w:t> </w:t>
      </w:r>
      <w:r w:rsidR="00606D51">
        <w:rPr>
          <w:rFonts w:ascii="Arial" w:hAnsi="Arial" w:cs="Arial"/>
        </w:rPr>
        <w:t>P</w:t>
      </w:r>
      <w:r w:rsidR="00D711EF">
        <w:rPr>
          <w:rFonts w:ascii="Arial" w:hAnsi="Arial" w:cs="Arial"/>
        </w:rPr>
        <w:t>říloze</w:t>
      </w:r>
      <w:r w:rsidR="00624E0D">
        <w:rPr>
          <w:rFonts w:ascii="Arial" w:hAnsi="Arial" w:cs="Arial"/>
        </w:rPr>
        <w:t xml:space="preserve"> k</w:t>
      </w:r>
      <w:r w:rsidR="00D711EF">
        <w:rPr>
          <w:rFonts w:ascii="Arial" w:hAnsi="Arial" w:cs="Arial"/>
        </w:rPr>
        <w:t xml:space="preserve"> </w:t>
      </w:r>
      <w:r w:rsidR="00624E0D">
        <w:rPr>
          <w:rFonts w:ascii="Arial" w:hAnsi="Arial" w:cs="Arial"/>
        </w:rPr>
        <w:t xml:space="preserve">tomuto opatření obecné povahy </w:t>
      </w:r>
      <w:r w:rsidR="004061CA">
        <w:rPr>
          <w:rFonts w:ascii="Arial" w:hAnsi="Arial" w:cs="Arial"/>
        </w:rPr>
        <w:t xml:space="preserve">ve výši </w:t>
      </w:r>
      <w:r w:rsidR="0008164C">
        <w:rPr>
          <w:rFonts w:ascii="Arial" w:hAnsi="Arial" w:cs="Arial"/>
        </w:rPr>
        <w:t xml:space="preserve">… </w:t>
      </w:r>
      <w:r w:rsidR="0008164C">
        <w:rPr>
          <w:rFonts w:ascii="Arial" w:hAnsi="Arial" w:cs="Arial"/>
          <w:i/>
          <w:iCs/>
          <w:color w:val="00B0F0"/>
        </w:rPr>
        <w:t>(obec zvolí koeficient v rozmezí od 0,5 do 5,0)</w:t>
      </w:r>
      <w:r w:rsidR="0008164C">
        <w:rPr>
          <w:rFonts w:ascii="Arial" w:hAnsi="Arial" w:cs="Arial"/>
        </w:rPr>
        <w:t>.</w:t>
      </w:r>
    </w:p>
    <w:p w14:paraId="080C5A8F" w14:textId="1B0C378B" w:rsidR="00F11D8B" w:rsidRPr="00F11D8B" w:rsidRDefault="00F11D8B" w:rsidP="00F11D8B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F11D8B">
        <w:rPr>
          <w:rFonts w:ascii="Arial" w:hAnsi="Arial" w:cs="Arial"/>
        </w:rPr>
        <w:t xml:space="preserve">Tento místní koeficient se vztahuje na všechny </w:t>
      </w:r>
      <w:r w:rsidR="00A46D72">
        <w:rPr>
          <w:rFonts w:ascii="Arial" w:hAnsi="Arial" w:cs="Arial"/>
        </w:rPr>
        <w:t xml:space="preserve">vymezené </w:t>
      </w:r>
      <w:r w:rsidRPr="00F11D8B">
        <w:rPr>
          <w:rFonts w:ascii="Arial" w:hAnsi="Arial" w:cs="Arial"/>
        </w:rPr>
        <w:t>nemovité věci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  <w:r w:rsidR="00B92666" w:rsidRPr="00B92666">
        <w:t xml:space="preserve"> </w:t>
      </w:r>
      <w:r w:rsidR="00B92666" w:rsidRPr="00B92666">
        <w:rPr>
          <w:rFonts w:ascii="Arial" w:hAnsi="Arial" w:cs="Arial"/>
        </w:rPr>
        <w:t>Výčet vymezených nemovitých věcí, pro které byl stanoven shora uvedený místní koeficient, je obsažen v příloze, která je nedílnou součástí tohoto opatření obecné povahy</w:t>
      </w:r>
      <w:r w:rsidR="00B92666">
        <w:rPr>
          <w:rFonts w:ascii="Arial" w:hAnsi="Arial" w:cs="Arial"/>
        </w:rPr>
        <w:t>.</w:t>
      </w:r>
    </w:p>
    <w:p w14:paraId="6AF4874A" w14:textId="77777777" w:rsidR="00371DAD" w:rsidRDefault="00371DAD" w:rsidP="00371DAD">
      <w:pPr>
        <w:spacing w:line="276" w:lineRule="auto"/>
        <w:rPr>
          <w:rFonts w:ascii="Arial" w:hAnsi="Arial" w:cs="Arial"/>
        </w:rPr>
      </w:pPr>
    </w:p>
    <w:p w14:paraId="3E0F1854" w14:textId="77777777" w:rsidR="00371DAD" w:rsidRDefault="00371DAD" w:rsidP="00402B0D">
      <w:pPr>
        <w:keepNext/>
        <w:spacing w:line="276" w:lineRule="auto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Odůvodnění</w:t>
      </w:r>
    </w:p>
    <w:p w14:paraId="64253192" w14:textId="452BD47A" w:rsidR="00371DAD" w:rsidRDefault="00371DAD" w:rsidP="00371DAD">
      <w:pPr>
        <w:tabs>
          <w:tab w:val="left" w:pos="0"/>
        </w:tabs>
        <w:spacing w:line="276" w:lineRule="auto"/>
        <w:rPr>
          <w:rFonts w:ascii="Arial" w:hAnsi="Arial" w:cs="Arial"/>
          <w:i/>
          <w:color w:val="00B0F0"/>
        </w:rPr>
      </w:pPr>
      <w:r w:rsidRPr="00451933">
        <w:rPr>
          <w:rFonts w:ascii="Arial" w:hAnsi="Arial" w:cs="Arial"/>
          <w:i/>
          <w:color w:val="00B0F0"/>
        </w:rPr>
        <w:t>Obec</w:t>
      </w:r>
      <w:r w:rsidRPr="00451933">
        <w:rPr>
          <w:rFonts w:ascii="Arial" w:hAnsi="Arial" w:cs="Arial"/>
          <w:sz w:val="24"/>
          <w:szCs w:val="24"/>
        </w:rPr>
        <w:t xml:space="preserve"> </w:t>
      </w:r>
      <w:r w:rsidRPr="00451933">
        <w:rPr>
          <w:rFonts w:ascii="Arial" w:hAnsi="Arial" w:cs="Arial"/>
          <w:i/>
          <w:color w:val="00B0F0"/>
        </w:rPr>
        <w:t>musí odůvodnit, proč pro vybrané nemovité věci stanovuje místní koeficient.</w:t>
      </w:r>
    </w:p>
    <w:p w14:paraId="353BF246" w14:textId="77777777" w:rsidR="006958EF" w:rsidRDefault="006958EF" w:rsidP="00371DAD">
      <w:pPr>
        <w:tabs>
          <w:tab w:val="left" w:pos="0"/>
        </w:tabs>
        <w:spacing w:line="276" w:lineRule="auto"/>
        <w:rPr>
          <w:rFonts w:ascii="Arial" w:hAnsi="Arial" w:cs="Arial"/>
          <w:iCs/>
          <w:color w:val="00B0F0"/>
        </w:rPr>
      </w:pPr>
    </w:p>
    <w:p w14:paraId="3D831C92" w14:textId="2EA80372" w:rsidR="00C45305" w:rsidRPr="006958EF" w:rsidRDefault="00C45305" w:rsidP="00371DAD">
      <w:pPr>
        <w:tabs>
          <w:tab w:val="left" w:pos="0"/>
        </w:tabs>
        <w:spacing w:line="276" w:lineRule="auto"/>
        <w:rPr>
          <w:rFonts w:ascii="Arial" w:hAnsi="Arial" w:cs="Arial"/>
          <w:iCs/>
          <w:color w:val="00B0F0"/>
        </w:rPr>
      </w:pPr>
      <w:r w:rsidRPr="006958EF">
        <w:rPr>
          <w:rFonts w:ascii="Arial" w:hAnsi="Arial" w:cs="Arial"/>
          <w:iCs/>
        </w:rPr>
        <w:t xml:space="preserve">Vyhodnocení připomínek </w:t>
      </w:r>
      <w:r w:rsidR="006958EF" w:rsidRPr="006958EF">
        <w:rPr>
          <w:rFonts w:ascii="Arial" w:hAnsi="Arial" w:cs="Arial"/>
          <w:iCs/>
          <w:color w:val="00B0F0"/>
        </w:rPr>
        <w:t>(v případě, že nepřijde žádná připomínka, tak vyškrtnout)</w:t>
      </w:r>
    </w:p>
    <w:p w14:paraId="6996283D" w14:textId="63DBA2CE" w:rsidR="00C45305" w:rsidRPr="006958EF" w:rsidRDefault="00C45305" w:rsidP="00371DAD">
      <w:pPr>
        <w:tabs>
          <w:tab w:val="left" w:pos="0"/>
        </w:tabs>
        <w:spacing w:line="276" w:lineRule="auto"/>
        <w:rPr>
          <w:rFonts w:ascii="Arial" w:hAnsi="Arial" w:cs="Arial"/>
          <w:iCs/>
          <w:color w:val="00B0F0"/>
        </w:rPr>
      </w:pPr>
      <w:r w:rsidRPr="006958EF">
        <w:rPr>
          <w:rFonts w:ascii="Arial" w:hAnsi="Arial" w:cs="Arial"/>
          <w:iCs/>
          <w:color w:val="00B0F0"/>
        </w:rPr>
        <w:t xml:space="preserve">…. </w:t>
      </w:r>
    </w:p>
    <w:p w14:paraId="7C01B61D" w14:textId="77777777" w:rsidR="00C45305" w:rsidRPr="006958EF" w:rsidRDefault="00C45305" w:rsidP="00371DAD">
      <w:pPr>
        <w:tabs>
          <w:tab w:val="left" w:pos="0"/>
        </w:tabs>
        <w:spacing w:line="276" w:lineRule="auto"/>
        <w:rPr>
          <w:rFonts w:ascii="Arial" w:hAnsi="Arial" w:cs="Arial"/>
          <w:iCs/>
          <w:color w:val="00B0F0"/>
        </w:rPr>
      </w:pPr>
    </w:p>
    <w:p w14:paraId="01EB8CD4" w14:textId="5C156959" w:rsidR="00371DAD" w:rsidRPr="006958EF" w:rsidRDefault="00ED6A19" w:rsidP="00371DAD">
      <w:pPr>
        <w:tabs>
          <w:tab w:val="left" w:pos="567"/>
        </w:tabs>
        <w:spacing w:line="276" w:lineRule="auto"/>
        <w:rPr>
          <w:rFonts w:ascii="Arial" w:hAnsi="Arial" w:cs="Arial"/>
          <w:iCs/>
          <w:color w:val="00B0F0"/>
        </w:rPr>
      </w:pPr>
      <w:r w:rsidRPr="006958EF">
        <w:rPr>
          <w:rFonts w:ascii="Arial" w:hAnsi="Arial" w:cs="Arial"/>
          <w:iCs/>
        </w:rPr>
        <w:t xml:space="preserve">Rozhodnutí o námitkách a jejich odůvodnění </w:t>
      </w:r>
      <w:r w:rsidR="006958EF">
        <w:rPr>
          <w:rFonts w:ascii="Arial" w:hAnsi="Arial" w:cs="Arial"/>
          <w:iCs/>
          <w:color w:val="00B0F0"/>
        </w:rPr>
        <w:t>(</w:t>
      </w:r>
      <w:r w:rsidR="006958EF" w:rsidRPr="006958EF">
        <w:rPr>
          <w:rFonts w:ascii="Arial" w:hAnsi="Arial" w:cs="Arial"/>
          <w:iCs/>
          <w:color w:val="00B0F0"/>
        </w:rPr>
        <w:t xml:space="preserve">v případě, že nepřijde žádná </w:t>
      </w:r>
      <w:r w:rsidR="006958EF">
        <w:rPr>
          <w:rFonts w:ascii="Arial" w:hAnsi="Arial" w:cs="Arial"/>
          <w:iCs/>
          <w:color w:val="00B0F0"/>
        </w:rPr>
        <w:t>námitka</w:t>
      </w:r>
      <w:r w:rsidR="006958EF" w:rsidRPr="00974DC9">
        <w:rPr>
          <w:rFonts w:ascii="Arial" w:hAnsi="Arial" w:cs="Arial"/>
          <w:iCs/>
          <w:color w:val="00B0F0"/>
        </w:rPr>
        <w:t>, tak vyškrtnout)</w:t>
      </w:r>
    </w:p>
    <w:p w14:paraId="29F58E6F" w14:textId="7EA4D97B" w:rsidR="00ED6A19" w:rsidRDefault="00ED6A19" w:rsidP="00371DAD">
      <w:pPr>
        <w:tabs>
          <w:tab w:val="left" w:pos="567"/>
        </w:tabs>
        <w:spacing w:line="276" w:lineRule="auto"/>
        <w:rPr>
          <w:rFonts w:ascii="Arial" w:hAnsi="Arial" w:cs="Arial"/>
          <w:iCs/>
          <w:color w:val="00B0F0"/>
          <w:sz w:val="20"/>
          <w:szCs w:val="20"/>
        </w:rPr>
      </w:pPr>
      <w:r>
        <w:rPr>
          <w:rFonts w:ascii="Arial" w:hAnsi="Arial" w:cs="Arial"/>
          <w:iCs/>
          <w:color w:val="00B0F0"/>
          <w:sz w:val="20"/>
          <w:szCs w:val="20"/>
        </w:rPr>
        <w:t>…</w:t>
      </w:r>
    </w:p>
    <w:p w14:paraId="15383760" w14:textId="77777777" w:rsidR="006958EF" w:rsidRDefault="006958EF" w:rsidP="00371DAD">
      <w:pPr>
        <w:tabs>
          <w:tab w:val="left" w:pos="567"/>
        </w:tabs>
        <w:spacing w:line="276" w:lineRule="auto"/>
        <w:rPr>
          <w:rFonts w:ascii="Arial" w:hAnsi="Arial" w:cs="Arial"/>
          <w:iCs/>
          <w:color w:val="00B0F0"/>
          <w:sz w:val="20"/>
          <w:szCs w:val="20"/>
        </w:rPr>
      </w:pPr>
    </w:p>
    <w:p w14:paraId="2FE2D5A5" w14:textId="77777777" w:rsidR="006958EF" w:rsidRPr="006958EF" w:rsidRDefault="00596662" w:rsidP="006958EF">
      <w:pPr>
        <w:tabs>
          <w:tab w:val="left" w:pos="567"/>
        </w:tabs>
        <w:spacing w:line="276" w:lineRule="auto"/>
        <w:rPr>
          <w:rFonts w:ascii="Arial" w:hAnsi="Arial" w:cs="Arial"/>
          <w:iCs/>
          <w:color w:val="00B0F0"/>
        </w:rPr>
      </w:pPr>
      <w:r w:rsidRPr="006958EF">
        <w:rPr>
          <w:rFonts w:ascii="Arial" w:hAnsi="Arial" w:cs="Arial"/>
          <w:iCs/>
        </w:rPr>
        <w:lastRenderedPageBreak/>
        <w:t xml:space="preserve">Proti rozhodnutí o námitkách nelze podle § 172 odst. 5 správního řádu podat odvolání nebo rozklad. </w:t>
      </w:r>
      <w:r w:rsidR="006958EF" w:rsidRPr="006958EF">
        <w:rPr>
          <w:rFonts w:ascii="Arial" w:hAnsi="Arial" w:cs="Arial"/>
          <w:iCs/>
          <w:color w:val="00B0F0"/>
        </w:rPr>
        <w:t>(v případě, že nepřijde žádná námitka, tak vyškrtnout)</w:t>
      </w:r>
    </w:p>
    <w:p w14:paraId="60A2584F" w14:textId="77777777" w:rsidR="00D2239B" w:rsidRDefault="00D2239B" w:rsidP="00402B0D">
      <w:pPr>
        <w:keepNext/>
        <w:spacing w:line="276" w:lineRule="auto"/>
        <w:rPr>
          <w:rFonts w:ascii="Arial" w:hAnsi="Arial" w:cs="Arial"/>
          <w:b/>
        </w:rPr>
      </w:pPr>
    </w:p>
    <w:p w14:paraId="6F19A651" w14:textId="77777777" w:rsidR="00371DAD" w:rsidRDefault="00371DAD" w:rsidP="00402B0D">
      <w:pPr>
        <w:keepNext/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Poučení</w:t>
      </w:r>
    </w:p>
    <w:p w14:paraId="32D3C31E" w14:textId="57310C67" w:rsidR="00371DAD" w:rsidRDefault="00371DAD" w:rsidP="00371DAD">
      <w:pPr>
        <w:spacing w:line="276" w:lineRule="auto"/>
        <w:rPr>
          <w:rFonts w:ascii="Arial" w:hAnsi="Arial" w:cs="Arial"/>
        </w:rPr>
      </w:pPr>
      <w:r w:rsidRPr="001F4DC6">
        <w:rPr>
          <w:rFonts w:ascii="Arial" w:hAnsi="Arial" w:cs="Arial"/>
        </w:rPr>
        <w:t>Proti opatření obecné povahy nelze podle § 173 odst. 2 správního řádu podat opravný prostředek.</w:t>
      </w:r>
      <w:r w:rsidR="00ED6A19" w:rsidRPr="00ED6A19">
        <w:t xml:space="preserve"> </w:t>
      </w:r>
      <w:r w:rsidR="00ED6A19" w:rsidRPr="00ED6A19">
        <w:rPr>
          <w:rFonts w:ascii="Arial" w:hAnsi="Arial" w:cs="Arial"/>
        </w:rPr>
        <w:t>Do opatření obecné povahy a jeho odůvodnění může podle § 173 odst. 1 správního řádu každý nahlédnout u</w:t>
      </w:r>
      <w:r w:rsidR="00ED6A19">
        <w:rPr>
          <w:rFonts w:ascii="Arial" w:hAnsi="Arial" w:cs="Arial"/>
        </w:rPr>
        <w:t xml:space="preserve"> obecního/městského úřadu</w:t>
      </w:r>
      <w:r w:rsidR="00ED6A19" w:rsidRPr="00ED6A19">
        <w:rPr>
          <w:rFonts w:ascii="Arial" w:hAnsi="Arial" w:cs="Arial"/>
        </w:rPr>
        <w:t xml:space="preserve">, který opatření obecné povahy vydal. </w:t>
      </w:r>
    </w:p>
    <w:p w14:paraId="0FB5B3F2" w14:textId="77777777" w:rsidR="00E63A54" w:rsidRPr="001F4DC6" w:rsidRDefault="00E63A54" w:rsidP="00371DAD">
      <w:pPr>
        <w:spacing w:line="276" w:lineRule="auto"/>
        <w:rPr>
          <w:rFonts w:ascii="Arial" w:hAnsi="Arial" w:cs="Arial"/>
        </w:rPr>
      </w:pPr>
    </w:p>
    <w:p w14:paraId="0DB597C6" w14:textId="77777777" w:rsidR="00ED6A19" w:rsidRDefault="00ED6A19" w:rsidP="00ED6A19">
      <w:pPr>
        <w:keepNext/>
        <w:spacing w:line="276" w:lineRule="auto"/>
        <w:jc w:val="left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A8C4952" w14:textId="574D5D39" w:rsidR="00ED6A19" w:rsidRDefault="00ED6A19" w:rsidP="00ED6A1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63A5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to opatření obecné povahy nabývá účinnosti v souladu s § 173 odst. 1 správního řádu patnáctým dnem po dni vyvěšení veřejné vyhlášky. </w:t>
      </w:r>
    </w:p>
    <w:p w14:paraId="3EB00F08" w14:textId="77777777" w:rsidR="00784185" w:rsidRDefault="00784185" w:rsidP="00784185">
      <w:pPr>
        <w:spacing w:line="276" w:lineRule="auto"/>
        <w:ind w:firstLine="709"/>
        <w:rPr>
          <w:rFonts w:ascii="Arial" w:hAnsi="Arial" w:cs="Arial"/>
        </w:rPr>
      </w:pPr>
    </w:p>
    <w:p w14:paraId="67F62418" w14:textId="1073F538" w:rsidR="00784185" w:rsidRPr="006958EF" w:rsidRDefault="00784185" w:rsidP="00784185">
      <w:pPr>
        <w:spacing w:line="276" w:lineRule="auto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Příloha </w:t>
      </w:r>
      <w:r w:rsidR="006958EF">
        <w:rPr>
          <w:rFonts w:ascii="Arial" w:hAnsi="Arial" w:cs="Arial"/>
          <w:color w:val="00B0F0"/>
        </w:rPr>
        <w:t xml:space="preserve">(nutno taktéž zveřejnit) </w:t>
      </w:r>
    </w:p>
    <w:p w14:paraId="3D49777F" w14:textId="77777777" w:rsidR="00497745" w:rsidRDefault="00497745" w:rsidP="00784185">
      <w:pPr>
        <w:spacing w:line="276" w:lineRule="auto"/>
        <w:rPr>
          <w:rFonts w:ascii="Arial" w:hAnsi="Arial" w:cs="Arial"/>
        </w:rPr>
      </w:pPr>
    </w:p>
    <w:p w14:paraId="2914B962" w14:textId="77777777" w:rsidR="00497745" w:rsidRDefault="00497745" w:rsidP="00497745">
      <w:pPr>
        <w:spacing w:line="276" w:lineRule="auto"/>
        <w:rPr>
          <w:rFonts w:ascii="Arial" w:hAnsi="Arial" w:cs="Arial"/>
        </w:rPr>
      </w:pPr>
    </w:p>
    <w:p w14:paraId="1B581461" w14:textId="04DD4D85" w:rsidR="00497745" w:rsidRDefault="00ED6A19" w:rsidP="00E63A54">
      <w:pPr>
        <w:keepNext/>
        <w:spacing w:line="276" w:lineRule="auto"/>
        <w:rPr>
          <w:rFonts w:ascii="Arial" w:hAnsi="Arial" w:cs="Arial"/>
        </w:rPr>
        <w:sectPr w:rsidR="00497745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  <w:r>
        <w:rPr>
          <w:rFonts w:ascii="Arial" w:hAnsi="Arial" w:cs="Arial"/>
        </w:rPr>
        <w:t xml:space="preserve">Vyvěšeno dne  </w:t>
      </w:r>
      <w:r w:rsidR="00E63A54">
        <w:rPr>
          <w:rFonts w:ascii="Arial" w:hAnsi="Arial" w:cs="Arial"/>
        </w:rPr>
        <w:tab/>
      </w:r>
      <w:r w:rsidR="00E63A54">
        <w:rPr>
          <w:rFonts w:ascii="Arial" w:hAnsi="Arial" w:cs="Arial"/>
        </w:rPr>
        <w:tab/>
      </w:r>
      <w:r w:rsidR="00E63A54">
        <w:rPr>
          <w:rFonts w:ascii="Arial" w:hAnsi="Arial" w:cs="Arial"/>
        </w:rPr>
        <w:tab/>
      </w:r>
      <w:r w:rsidR="00E63A54">
        <w:rPr>
          <w:rFonts w:ascii="Arial" w:hAnsi="Arial" w:cs="Arial"/>
        </w:rPr>
        <w:tab/>
      </w:r>
      <w:r w:rsidR="00E63A54">
        <w:rPr>
          <w:rFonts w:ascii="Arial" w:hAnsi="Arial" w:cs="Arial"/>
        </w:rPr>
        <w:tab/>
      </w:r>
      <w:r w:rsidR="00E63A54">
        <w:rPr>
          <w:rFonts w:ascii="Arial" w:hAnsi="Arial" w:cs="Arial"/>
        </w:rPr>
        <w:tab/>
      </w:r>
      <w:r w:rsidR="00E63A54">
        <w:rPr>
          <w:rFonts w:ascii="Arial" w:hAnsi="Arial" w:cs="Arial"/>
        </w:rPr>
        <w:tab/>
        <w:t>Sejmuto dne</w:t>
      </w:r>
    </w:p>
    <w:p w14:paraId="43BB2FE9" w14:textId="77777777" w:rsidR="00E63A54" w:rsidRDefault="00E63A54" w:rsidP="00497745">
      <w:pPr>
        <w:keepNext/>
        <w:spacing w:line="276" w:lineRule="auto"/>
        <w:jc w:val="center"/>
        <w:rPr>
          <w:rFonts w:ascii="Arial" w:hAnsi="Arial" w:cs="Arial"/>
        </w:rPr>
      </w:pPr>
    </w:p>
    <w:p w14:paraId="041CB7A3" w14:textId="77777777" w:rsidR="00E63A54" w:rsidRDefault="00E63A54" w:rsidP="00497745">
      <w:pPr>
        <w:keepNext/>
        <w:spacing w:line="276" w:lineRule="auto"/>
        <w:jc w:val="center"/>
        <w:rPr>
          <w:rFonts w:ascii="Arial" w:hAnsi="Arial" w:cs="Arial"/>
        </w:rPr>
      </w:pPr>
    </w:p>
    <w:p w14:paraId="1D127D32" w14:textId="7F29DD53" w:rsidR="00497745" w:rsidRDefault="00497745" w:rsidP="004977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6959A43A" w14:textId="77777777" w:rsidR="00497745" w:rsidRDefault="00497745" w:rsidP="0049774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14:paraId="31117AC2" w14:textId="385A8887" w:rsidR="00497745" w:rsidRDefault="00497745" w:rsidP="00402B0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 w:rsidR="00ED6A19">
        <w:rPr>
          <w:rFonts w:ascii="Arial" w:hAnsi="Arial" w:cs="Arial"/>
        </w:rPr>
        <w:t xml:space="preserve"> </w:t>
      </w:r>
    </w:p>
    <w:p w14:paraId="069F39D3" w14:textId="77777777" w:rsidR="00497745" w:rsidRDefault="00497745" w:rsidP="00497745">
      <w:pPr>
        <w:spacing w:after="0" w:line="276" w:lineRule="auto"/>
        <w:jc w:val="left"/>
        <w:rPr>
          <w:rFonts w:ascii="Arial" w:hAnsi="Arial" w:cs="Arial"/>
        </w:rPr>
        <w:sectPr w:rsidR="0049774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575181FF" w14:textId="77777777" w:rsidR="00497745" w:rsidRDefault="00497745" w:rsidP="00784185">
      <w:pPr>
        <w:spacing w:line="276" w:lineRule="auto"/>
        <w:rPr>
          <w:rFonts w:ascii="Arial" w:hAnsi="Arial" w:cs="Arial"/>
        </w:rPr>
      </w:pPr>
    </w:p>
    <w:sectPr w:rsidR="004977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1881" w14:textId="77777777" w:rsidR="00CB23D6" w:rsidRDefault="00CB23D6" w:rsidP="007512CB">
      <w:pPr>
        <w:spacing w:after="0"/>
      </w:pPr>
      <w:r>
        <w:separator/>
      </w:r>
    </w:p>
  </w:endnote>
  <w:endnote w:type="continuationSeparator" w:id="0">
    <w:p w14:paraId="21E9BE83" w14:textId="77777777" w:rsidR="00CB23D6" w:rsidRDefault="00CB23D6" w:rsidP="00751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221A303E" w14:textId="04544496" w:rsidR="00B47B84" w:rsidRPr="00456B24" w:rsidRDefault="00B47B8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24E0D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B9750A" w14:textId="77777777" w:rsidR="00B47B84" w:rsidRDefault="00B47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869D" w14:textId="77777777" w:rsidR="00CB23D6" w:rsidRDefault="00CB23D6" w:rsidP="007512CB">
      <w:pPr>
        <w:spacing w:after="0"/>
      </w:pPr>
      <w:r>
        <w:separator/>
      </w:r>
    </w:p>
  </w:footnote>
  <w:footnote w:type="continuationSeparator" w:id="0">
    <w:p w14:paraId="567454AA" w14:textId="77777777" w:rsidR="00CB23D6" w:rsidRDefault="00CB23D6" w:rsidP="007512CB">
      <w:pPr>
        <w:spacing w:after="0"/>
      </w:pPr>
      <w:r>
        <w:continuationSeparator/>
      </w:r>
    </w:p>
  </w:footnote>
  <w:footnote w:id="1">
    <w:p w14:paraId="5CFACF4D" w14:textId="77777777" w:rsidR="00F11D8B" w:rsidRDefault="00F11D8B" w:rsidP="00F11D8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720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CB"/>
    <w:rsid w:val="000355A3"/>
    <w:rsid w:val="00065356"/>
    <w:rsid w:val="000806FE"/>
    <w:rsid w:val="0008164C"/>
    <w:rsid w:val="00085F87"/>
    <w:rsid w:val="000C358F"/>
    <w:rsid w:val="00140027"/>
    <w:rsid w:val="00162B49"/>
    <w:rsid w:val="001A2D74"/>
    <w:rsid w:val="001B7C9F"/>
    <w:rsid w:val="001F4DC6"/>
    <w:rsid w:val="002E3EAE"/>
    <w:rsid w:val="00371DAD"/>
    <w:rsid w:val="00387DA2"/>
    <w:rsid w:val="003A1B98"/>
    <w:rsid w:val="003F41A9"/>
    <w:rsid w:val="00402B0D"/>
    <w:rsid w:val="004061CA"/>
    <w:rsid w:val="0043707C"/>
    <w:rsid w:val="00451933"/>
    <w:rsid w:val="00466987"/>
    <w:rsid w:val="004929E7"/>
    <w:rsid w:val="00494836"/>
    <w:rsid w:val="0049765A"/>
    <w:rsid w:val="00497745"/>
    <w:rsid w:val="004B007F"/>
    <w:rsid w:val="004F4243"/>
    <w:rsid w:val="0052225B"/>
    <w:rsid w:val="00596662"/>
    <w:rsid w:val="005D05DE"/>
    <w:rsid w:val="00606D51"/>
    <w:rsid w:val="00624E0D"/>
    <w:rsid w:val="00636103"/>
    <w:rsid w:val="0068064F"/>
    <w:rsid w:val="006958EF"/>
    <w:rsid w:val="006B085C"/>
    <w:rsid w:val="006C2F76"/>
    <w:rsid w:val="006D0A47"/>
    <w:rsid w:val="00711F4F"/>
    <w:rsid w:val="00730D69"/>
    <w:rsid w:val="007512CB"/>
    <w:rsid w:val="00784185"/>
    <w:rsid w:val="007C3202"/>
    <w:rsid w:val="0080170A"/>
    <w:rsid w:val="008339B9"/>
    <w:rsid w:val="00883427"/>
    <w:rsid w:val="008D2839"/>
    <w:rsid w:val="008D7E3D"/>
    <w:rsid w:val="0093519F"/>
    <w:rsid w:val="009617A5"/>
    <w:rsid w:val="00975243"/>
    <w:rsid w:val="009D536D"/>
    <w:rsid w:val="00A3582C"/>
    <w:rsid w:val="00A46D72"/>
    <w:rsid w:val="00AD4451"/>
    <w:rsid w:val="00B47B84"/>
    <w:rsid w:val="00B92666"/>
    <w:rsid w:val="00BE33F7"/>
    <w:rsid w:val="00BF75D1"/>
    <w:rsid w:val="00C01C4D"/>
    <w:rsid w:val="00C45305"/>
    <w:rsid w:val="00C460A8"/>
    <w:rsid w:val="00C97C77"/>
    <w:rsid w:val="00CB23D6"/>
    <w:rsid w:val="00CC3752"/>
    <w:rsid w:val="00CC7603"/>
    <w:rsid w:val="00CE39DC"/>
    <w:rsid w:val="00D03E1F"/>
    <w:rsid w:val="00D2239B"/>
    <w:rsid w:val="00D355AC"/>
    <w:rsid w:val="00D54E2A"/>
    <w:rsid w:val="00D711EF"/>
    <w:rsid w:val="00D91144"/>
    <w:rsid w:val="00DA79BF"/>
    <w:rsid w:val="00DC1F1E"/>
    <w:rsid w:val="00DD47B3"/>
    <w:rsid w:val="00DE631B"/>
    <w:rsid w:val="00E63A54"/>
    <w:rsid w:val="00ED6A19"/>
    <w:rsid w:val="00EF4A7E"/>
    <w:rsid w:val="00F11D8B"/>
    <w:rsid w:val="00F157E1"/>
    <w:rsid w:val="00F93D0E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DD7D"/>
  <w15:chartTrackingRefBased/>
  <w15:docId w15:val="{5F742A62-6050-4B2F-BC4F-038C594B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2CB"/>
    <w:pPr>
      <w:spacing w:after="120"/>
    </w:pPr>
    <w:rPr>
      <w:rFonts w:asciiTheme="minorHAnsi" w:hAnsi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12C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12CB"/>
    <w:rPr>
      <w:rFonts w:asciiTheme="minorHAnsi" w:hAnsiTheme="minorHAns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512C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1D8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47B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47B84"/>
    <w:rPr>
      <w:rFonts w:asciiTheme="minorHAnsi" w:hAnsiTheme="minorHAnsi"/>
      <w:kern w:val="0"/>
      <w14:ligatures w14:val="none"/>
    </w:rPr>
  </w:style>
  <w:style w:type="paragraph" w:styleId="Revize">
    <w:name w:val="Revision"/>
    <w:hidden/>
    <w:uiPriority w:val="99"/>
    <w:semiHidden/>
    <w:rsid w:val="00D03E1F"/>
    <w:pPr>
      <w:jc w:val="left"/>
    </w:pPr>
    <w:rPr>
      <w:rFonts w:asciiTheme="minorHAnsi" w:hAnsiTheme="minorHAnsi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7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7A5"/>
    <w:rPr>
      <w:rFonts w:ascii="Segoe UI" w:hAnsi="Segoe UI" w:cs="Segoe UI"/>
      <w:kern w:val="0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D05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05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05DE"/>
    <w:rPr>
      <w:rFonts w:asciiTheme="minorHAnsi" w:hAnsiTheme="minorHAns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5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05DE"/>
    <w:rPr>
      <w:rFonts w:asciiTheme="minorHAnsi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Koreček Jan Ing. (GFŘ)</dc:creator>
  <cp:keywords/>
  <dc:description/>
  <cp:lastModifiedBy>Koreček Jan Ing. (GFŘ)</cp:lastModifiedBy>
  <cp:revision>4</cp:revision>
  <dcterms:created xsi:type="dcterms:W3CDTF">2024-04-16T13:16:00Z</dcterms:created>
  <dcterms:modified xsi:type="dcterms:W3CDTF">2024-04-18T11:50:00Z</dcterms:modified>
</cp:coreProperties>
</file>