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8250" w14:textId="77026428" w:rsidR="005A0059" w:rsidRDefault="000F45FD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  <w:r>
        <w:rPr>
          <w:rFonts w:ascii="Arial" w:eastAsia="Times New Roman" w:hAnsi="Arial" w:cs="Arial"/>
          <w:sz w:val="22"/>
          <w:szCs w:val="22"/>
          <w:lang w:eastAsia="cs-CZ"/>
        </w:rPr>
        <w:t>Městys Choltice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00273643, DIČ CZ00273643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se sídlem Pardubická 78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Choltice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53361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 starostou – Mgr. Tomáš Bolek</w:t>
      </w:r>
      <w:r w:rsidR="005A0059"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5D0E190" w:rsidR="00101687" w:rsidRDefault="00CB026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05FCF99B" w14:textId="77777777" w:rsidR="000F45FD" w:rsidRPr="00FA5D08" w:rsidRDefault="000F45FD" w:rsidP="000F45F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550058E5" w14:textId="77777777" w:rsidR="000F45FD" w:rsidRPr="00FA5D08" w:rsidRDefault="000F45FD" w:rsidP="000F45F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095F1BC4" w14:textId="77777777" w:rsidR="000F45FD" w:rsidRPr="00FA5D08" w:rsidRDefault="000F45FD" w:rsidP="000F45F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20B8E820" w14:textId="77777777" w:rsidR="000F45FD" w:rsidRDefault="000F45FD" w:rsidP="000F45F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  <w:r w:rsidRPr="00F43C59">
        <w:rPr>
          <w:rFonts w:ascii="Arial" w:eastAsia="Times New Roman" w:hAnsi="Arial" w:cs="Arial"/>
          <w:sz w:val="22"/>
          <w:szCs w:val="22"/>
          <w:lang w:eastAsia="cs-CZ"/>
        </w:rPr>
        <w:t xml:space="preserve">společností PEN – projekty energetiky, s.r.o., se sídlem </w:t>
      </w:r>
      <w:proofErr w:type="gramStart"/>
      <w:r w:rsidRPr="00F43C59">
        <w:rPr>
          <w:rFonts w:ascii="Arial" w:eastAsia="Times New Roman" w:hAnsi="Arial" w:cs="Arial"/>
          <w:sz w:val="22"/>
          <w:szCs w:val="22"/>
          <w:lang w:eastAsia="cs-CZ"/>
        </w:rPr>
        <w:t>Zelené</w:t>
      </w:r>
      <w:proofErr w:type="gramEnd"/>
      <w:r w:rsidRPr="00F43C5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gramStart"/>
      <w:r w:rsidRPr="00F43C59">
        <w:rPr>
          <w:rFonts w:ascii="Arial" w:eastAsia="Times New Roman" w:hAnsi="Arial" w:cs="Arial"/>
          <w:sz w:val="22"/>
          <w:szCs w:val="22"/>
          <w:lang w:eastAsia="cs-CZ"/>
        </w:rPr>
        <w:t xml:space="preserve">Předměstí,   </w:t>
      </w:r>
      <w:proofErr w:type="gramEnd"/>
      <w:r w:rsidRPr="00F43C59">
        <w:rPr>
          <w:rFonts w:ascii="Arial" w:eastAsia="Times New Roman" w:hAnsi="Arial" w:cs="Arial"/>
          <w:sz w:val="22"/>
          <w:szCs w:val="22"/>
          <w:lang w:eastAsia="cs-CZ"/>
        </w:rPr>
        <w:t xml:space="preserve">            Arnošta z Pardubic 2835, 530 02 Pardubice, společnost zapsaná v obchodním rejstříku u Krajského soudu v Hradci Králové, oddíl C, vložka 19968, v zastoupení na základě plné moci č. PM-0</w:t>
      </w:r>
      <w:r>
        <w:rPr>
          <w:rFonts w:ascii="Arial" w:eastAsia="Times New Roman" w:hAnsi="Arial" w:cs="Arial"/>
          <w:sz w:val="22"/>
          <w:szCs w:val="22"/>
          <w:lang w:eastAsia="cs-CZ"/>
        </w:rPr>
        <w:t>08</w:t>
      </w:r>
      <w:r w:rsidRPr="00F43C59">
        <w:rPr>
          <w:rFonts w:ascii="Arial" w:eastAsia="Times New Roman" w:hAnsi="Arial" w:cs="Arial"/>
          <w:sz w:val="22"/>
          <w:szCs w:val="22"/>
          <w:lang w:eastAsia="cs-CZ"/>
        </w:rPr>
        <w:t>/202</w:t>
      </w:r>
      <w:r>
        <w:rPr>
          <w:rFonts w:ascii="Arial" w:eastAsia="Times New Roman" w:hAnsi="Arial" w:cs="Arial"/>
          <w:sz w:val="22"/>
          <w:szCs w:val="22"/>
          <w:lang w:eastAsia="cs-CZ"/>
        </w:rPr>
        <w:t>5</w:t>
      </w:r>
      <w:r w:rsidRPr="00F43C59">
        <w:rPr>
          <w:rFonts w:ascii="Arial" w:eastAsia="Times New Roman" w:hAnsi="Arial" w:cs="Arial"/>
          <w:sz w:val="22"/>
          <w:szCs w:val="22"/>
          <w:lang w:eastAsia="cs-CZ"/>
        </w:rPr>
        <w:t xml:space="preserve"> udělené ze dne </w:t>
      </w:r>
      <w:r>
        <w:rPr>
          <w:rFonts w:ascii="Arial" w:eastAsia="Times New Roman" w:hAnsi="Arial" w:cs="Arial"/>
          <w:sz w:val="22"/>
          <w:szCs w:val="22"/>
          <w:lang w:eastAsia="cs-CZ"/>
        </w:rPr>
        <w:t>20</w:t>
      </w:r>
      <w:r w:rsidRPr="00F43C59">
        <w:rPr>
          <w:rFonts w:ascii="Arial" w:eastAsia="Times New Roman" w:hAnsi="Arial" w:cs="Arial"/>
          <w:sz w:val="22"/>
          <w:szCs w:val="22"/>
          <w:lang w:eastAsia="cs-CZ"/>
        </w:rPr>
        <w:t>. 1. 202</w:t>
      </w:r>
      <w:r>
        <w:rPr>
          <w:rFonts w:ascii="Arial" w:eastAsia="Times New Roman" w:hAnsi="Arial" w:cs="Arial"/>
          <w:sz w:val="22"/>
          <w:szCs w:val="22"/>
          <w:lang w:eastAsia="cs-CZ"/>
        </w:rPr>
        <w:t>5</w:t>
      </w:r>
      <w:r w:rsidRPr="00F43C59">
        <w:rPr>
          <w:rFonts w:ascii="Arial" w:eastAsia="Times New Roman" w:hAnsi="Arial" w:cs="Arial"/>
          <w:sz w:val="22"/>
          <w:szCs w:val="22"/>
          <w:lang w:eastAsia="cs-CZ"/>
        </w:rPr>
        <w:t>, jejímž jménem jedná Bc. Josef Bouček, prokurista společnosti.</w:t>
      </w:r>
    </w:p>
    <w:p w14:paraId="1E3616D2" w14:textId="77777777" w:rsidR="00B1092F" w:rsidRDefault="00B1092F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691AE4A8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44C46EC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C67EA9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7D99239C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IV-12-2030755</w:t>
      </w:r>
    </w:p>
    <w:p w14:paraId="0501C16F" w14:textId="17A24744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6B0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39B9B377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7DF425E6" w14:textId="77777777" w:rsidR="0015507A" w:rsidRDefault="0015507A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458A326E" w14:textId="77777777" w:rsidR="0015507A" w:rsidRDefault="0015507A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3FBCB78C" w14:textId="77777777" w:rsidR="0015507A" w:rsidRDefault="0015507A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3783477" w14:textId="77777777" w:rsidR="0015507A" w:rsidRDefault="0015507A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28B1772B" w14:textId="77777777" w:rsidR="0015507A" w:rsidRDefault="0015507A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0BA5BA62" w14:textId="77777777" w:rsidR="0015507A" w:rsidRDefault="0015507A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4C78D72B" w14:textId="77777777" w:rsidR="0015507A" w:rsidRPr="00FA5D08" w:rsidRDefault="0015507A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BBEC846" w14:textId="43DCE53E" w:rsidR="00971A07" w:rsidRPr="00FA5D08" w:rsidRDefault="00D04FAE" w:rsidP="00971A0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p w14:paraId="2115E7F8" w14:textId="77777777" w:rsidR="00971A07" w:rsidRPr="00CE1B15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Cs/>
          <w:color w:val="FF0000"/>
          <w:sz w:val="22"/>
          <w:szCs w:val="22"/>
        </w:rPr>
      </w:pPr>
    </w:p>
    <w:p w14:paraId="6070D3F5" w14:textId="77777777" w:rsidR="00971A07" w:rsidRPr="00345A86" w:rsidRDefault="00971A07" w:rsidP="00971A0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pozemku </w:t>
      </w:r>
      <w:r w:rsidRPr="000F45F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parc.č. 2150</w:t>
      </w:r>
      <w:r w:rsidRPr="00096E5F">
        <w:rPr>
          <w:rFonts w:ascii="Arial" w:eastAsia="Times New Roman" w:hAnsi="Arial" w:cs="Arial"/>
          <w:sz w:val="22"/>
          <w:szCs w:val="22"/>
          <w:lang w:eastAsia="cs-CZ"/>
        </w:rPr>
        <w:t>, v k.ú. Choltice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226B1C61" w14:textId="52B57835" w:rsidR="00A11879" w:rsidRDefault="00971A07" w:rsidP="00971A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„Dotčená nemovitost“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2AE0439" w14:textId="014EFB3F" w:rsidR="005877C1" w:rsidRPr="00B95B8A" w:rsidRDefault="005877C1" w:rsidP="00B95B8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686B6CE" w14:textId="0F761C9C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0F45F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Kabelové vedení </w:t>
      </w:r>
      <w:proofErr w:type="spellStart"/>
      <w:r w:rsidR="00557262" w:rsidRPr="000F45F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nn</w:t>
      </w:r>
      <w:proofErr w:type="spellEnd"/>
      <w:r w:rsidR="007763F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ED37DF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90CF555" w14:textId="77777777" w:rsidR="0097331E" w:rsidRDefault="0097331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2EE9EDC3" w14:textId="2E0C690A" w:rsidR="009816CE" w:rsidRPr="00A303F9" w:rsidRDefault="0082778B" w:rsidP="000F45F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148CCDCE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15507A" w:rsidRPr="0015507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62 </w:t>
      </w:r>
      <w:proofErr w:type="spellStart"/>
      <w:r w:rsidRPr="0015507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bm</w:t>
      </w:r>
      <w:proofErr w:type="spellEnd"/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17F82EF1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0F45FD">
        <w:rPr>
          <w:rFonts w:ascii="Arial" w:eastAsia="Times New Roman" w:hAnsi="Arial" w:cs="Arial"/>
          <w:sz w:val="22"/>
          <w:szCs w:val="22"/>
          <w:lang w:eastAsia="cs-CZ"/>
        </w:rPr>
        <w:t>.</w:t>
      </w:r>
      <w:bookmarkEnd w:id="2"/>
    </w:p>
    <w:p w14:paraId="20829283" w14:textId="77777777" w:rsidR="007156EA" w:rsidRPr="00406196" w:rsidRDefault="007156EA" w:rsidP="00406196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641F57A3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623E2A12" w14:textId="77777777" w:rsidR="00D75C5D" w:rsidRDefault="00D75C5D" w:rsidP="00380FCD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0673B542" w14:textId="66A17ECE" w:rsidR="007F0201" w:rsidRPr="000F45FD" w:rsidRDefault="00ED37DF" w:rsidP="000F45F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0F45FD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0F45FD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0F45FD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0F45FD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0F45FD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0F45FD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0F45FD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37B84" w:rsidRPr="000F45F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2000</w:t>
      </w:r>
      <w:r w:rsidR="00380FCD" w:rsidRPr="000F45F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 -</w:t>
      </w:r>
      <w:r w:rsidR="00A77BEE" w:rsidRPr="000F45F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</w:t>
      </w:r>
      <w:r w:rsidR="00FA5D08" w:rsidRPr="000F45FD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001E19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0F45FD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0F45FD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 platby</w:t>
      </w:r>
      <w:r w:rsidR="00826950" w:rsidRPr="000F45FD">
        <w:rPr>
          <w:rFonts w:ascii="Arial" w:hAnsi="Arial" w:cs="Arial"/>
          <w:spacing w:val="-3"/>
          <w:sz w:val="22"/>
          <w:szCs w:val="22"/>
        </w:rPr>
        <w:t>.</w:t>
      </w:r>
      <w:bookmarkStart w:id="3" w:name="_Hlk120863003"/>
      <w:r w:rsidR="000753BE" w:rsidRPr="000F45FD">
        <w:rPr>
          <w:rFonts w:ascii="Arial" w:hAnsi="Arial" w:cs="Arial"/>
          <w:spacing w:val="-3"/>
          <w:sz w:val="22"/>
          <w:szCs w:val="22"/>
        </w:rPr>
        <w:t xml:space="preserve"> </w:t>
      </w:r>
      <w:bookmarkEnd w:id="3"/>
      <w:r w:rsidR="00A77BEE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0F45FD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0F45FD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0F45FD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0F45FD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0EE9E72D" w14:textId="77777777" w:rsidR="00B97ED5" w:rsidRPr="00380FCD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lastRenderedPageBreak/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8F3BB77" w14:textId="77777777" w:rsidR="000F45FD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Dotčenou nemovitost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14:paraId="434DCB2C" w14:textId="77777777" w:rsidR="000F45FD" w:rsidRDefault="000F45FD" w:rsidP="000F45FD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FD381F5" w14:textId="77777777" w:rsidR="000F45FD" w:rsidRPr="001F31EE" w:rsidRDefault="000F45FD" w:rsidP="000F45FD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1F31EE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t>Práce na dotčené nemovitosti budou spočívat zejména v:</w:t>
      </w:r>
    </w:p>
    <w:p w14:paraId="402D3D37" w14:textId="77777777" w:rsidR="000F45FD" w:rsidRDefault="000F45FD" w:rsidP="000F45FD">
      <w:pPr>
        <w:widowControl w:val="0"/>
        <w:autoSpaceDE w:val="0"/>
        <w:autoSpaceDN w:val="0"/>
        <w:adjustRightInd w:val="0"/>
        <w:spacing w:line="300" w:lineRule="exact"/>
        <w:ind w:left="426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9415A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Na pozemku </w:t>
      </w:r>
      <w:proofErr w:type="spellStart"/>
      <w:r w:rsidRPr="009415A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p.č</w:t>
      </w:r>
      <w:proofErr w:type="spellEnd"/>
      <w:r w:rsidRPr="009415A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1656/4 bude ze stávající pojistkové skříně SS200 vyvedeno nové kabelové vedení NN, které bude zaústěno do nového pojistkového pilíře SS200 umístěného na pozemku </w:t>
      </w:r>
      <w:proofErr w:type="spellStart"/>
      <w:r w:rsidRPr="009415A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p.č</w:t>
      </w:r>
      <w:proofErr w:type="spellEnd"/>
      <w:r w:rsidRPr="009415A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767/29.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Dotčenou nemovitost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8AA1DD8" w14:textId="77777777" w:rsidR="0097331E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56E92DA7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71F10462" w14:textId="77777777" w:rsidR="000F45FD" w:rsidRDefault="000F45FD" w:rsidP="000F45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2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1 </w:t>
      </w:r>
      <w:r w:rsidRPr="00E013EF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obdrží každ</w:t>
      </w:r>
      <w:r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této smlouvy.</w:t>
      </w:r>
    </w:p>
    <w:p w14:paraId="4666FF4C" w14:textId="77777777" w:rsidR="0015507A" w:rsidRDefault="0015507A" w:rsidP="0015507A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7745ED5" w14:textId="77777777" w:rsidR="0015507A" w:rsidRPr="004D689E" w:rsidRDefault="0015507A" w:rsidP="0015507A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353B695" w14:textId="77777777" w:rsidR="00303DB6" w:rsidRPr="009B2CAC" w:rsidRDefault="00303DB6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A417D6B" w14:textId="491EE24D" w:rsidR="00A613E8" w:rsidRPr="000F45FD" w:rsidRDefault="00DB33B0" w:rsidP="00E52635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4" w:name="_Hlk22281687"/>
      <w:bookmarkStart w:id="5" w:name="_Hlk124402228"/>
      <w:bookmarkStart w:id="6" w:name="_Hlk124402005"/>
      <w:r w:rsidRPr="000F45FD">
        <w:rPr>
          <w:rFonts w:ascii="Arial" w:hAnsi="Arial" w:cs="Arial"/>
          <w:sz w:val="22"/>
          <w:szCs w:val="22"/>
          <w:lang w:eastAsia="cs-CZ"/>
        </w:rPr>
        <w:lastRenderedPageBreak/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6"/>
    </w:p>
    <w:p w14:paraId="2D75396E" w14:textId="77777777" w:rsidR="00E50014" w:rsidRPr="00B75F60" w:rsidRDefault="00E50014" w:rsidP="00B75F60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4"/>
    <w:bookmarkEnd w:id="5"/>
    <w:p w14:paraId="738AC7A7" w14:textId="13AA6B1A" w:rsidR="00254E2B" w:rsidRPr="00A303F9" w:rsidRDefault="00254E2B" w:rsidP="001B650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303F9">
        <w:rPr>
          <w:rFonts w:ascii="Arial" w:hAnsi="Arial" w:cs="Arial"/>
          <w:sz w:val="22"/>
          <w:szCs w:val="22"/>
        </w:rPr>
        <w:t xml:space="preserve">Záměr zřídit </w:t>
      </w:r>
      <w:r w:rsidR="00450DCD">
        <w:rPr>
          <w:rFonts w:ascii="Arial" w:hAnsi="Arial" w:cs="Arial"/>
          <w:sz w:val="22"/>
          <w:szCs w:val="22"/>
        </w:rPr>
        <w:t>V</w:t>
      </w:r>
      <w:r w:rsidRPr="00A303F9">
        <w:rPr>
          <w:rFonts w:ascii="Arial" w:hAnsi="Arial" w:cs="Arial"/>
          <w:sz w:val="22"/>
          <w:szCs w:val="22"/>
        </w:rPr>
        <w:t>ě</w:t>
      </w:r>
      <w:r w:rsidRPr="000F45FD">
        <w:rPr>
          <w:rFonts w:ascii="Arial" w:hAnsi="Arial" w:cs="Arial"/>
          <w:sz w:val="22"/>
          <w:szCs w:val="22"/>
        </w:rPr>
        <w:t>cné břemeno</w:t>
      </w:r>
      <w:r w:rsidR="00FA6BEB" w:rsidRPr="000F45FD">
        <w:rPr>
          <w:rFonts w:ascii="Arial" w:hAnsi="Arial" w:cs="Arial"/>
          <w:sz w:val="22"/>
          <w:szCs w:val="22"/>
        </w:rPr>
        <w:t xml:space="preserve"> k </w:t>
      </w:r>
      <w:r w:rsidR="0022444B" w:rsidRPr="000F45FD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0F45FD">
        <w:rPr>
          <w:rFonts w:ascii="Arial" w:hAnsi="Arial" w:cs="Arial"/>
          <w:sz w:val="22"/>
          <w:szCs w:val="22"/>
        </w:rPr>
        <w:t xml:space="preserve"> byl schválen usnesením</w:t>
      </w:r>
      <w:r w:rsidR="004511CB" w:rsidRPr="000F45FD">
        <w:rPr>
          <w:rFonts w:ascii="Arial" w:hAnsi="Arial" w:cs="Arial"/>
          <w:sz w:val="22"/>
          <w:szCs w:val="22"/>
        </w:rPr>
        <w:t xml:space="preserve"> </w:t>
      </w:r>
      <w:r w:rsidR="004511CB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………, </w:t>
      </w:r>
      <w:r w:rsidRPr="000F45FD">
        <w:rPr>
          <w:rFonts w:ascii="Arial" w:hAnsi="Arial" w:cs="Arial"/>
          <w:sz w:val="22"/>
          <w:szCs w:val="22"/>
        </w:rPr>
        <w:t>č.j. </w:t>
      </w:r>
      <w:r w:rsidR="004511CB" w:rsidRPr="000F45FD">
        <w:rPr>
          <w:rFonts w:ascii="Arial" w:eastAsia="Times New Roman" w:hAnsi="Arial" w:cs="Arial"/>
          <w:sz w:val="22"/>
          <w:szCs w:val="22"/>
          <w:lang w:eastAsia="cs-CZ"/>
        </w:rPr>
        <w:t xml:space="preserve">………, </w:t>
      </w:r>
      <w:r w:rsidRPr="000F45FD">
        <w:rPr>
          <w:rFonts w:ascii="Arial" w:hAnsi="Arial" w:cs="Arial"/>
          <w:sz w:val="22"/>
          <w:szCs w:val="22"/>
        </w:rPr>
        <w:t xml:space="preserve">ze dne </w:t>
      </w:r>
      <w:r w:rsidR="004511CB" w:rsidRPr="000F45FD">
        <w:rPr>
          <w:rFonts w:ascii="Arial" w:eastAsia="Times New Roman" w:hAnsi="Arial" w:cs="Arial"/>
          <w:sz w:val="22"/>
          <w:szCs w:val="22"/>
          <w:lang w:eastAsia="cs-CZ"/>
        </w:rPr>
        <w:t>………</w:t>
      </w:r>
      <w:r w:rsidRPr="000F45FD">
        <w:rPr>
          <w:rFonts w:ascii="Arial" w:hAnsi="Arial" w:cs="Arial"/>
          <w:sz w:val="22"/>
          <w:szCs w:val="22"/>
        </w:rPr>
        <w:t>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65FF41B1" w:rsidR="00ED37DF" w:rsidRPr="00EA3E28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C50B56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 podpisy vlastníků/spoluvlastníků</w:t>
      </w:r>
    </w:p>
    <w:p w14:paraId="753BEF79" w14:textId="62FA7014" w:rsidR="005E7167" w:rsidRPr="005E1EA2" w:rsidRDefault="005E7167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6BD78063" w14:textId="37341BA4" w:rsidR="001E7084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15507A" w14:paraId="23D6530B" w14:textId="77777777" w:rsidTr="00B95F86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2643E33" w14:textId="77777777" w:rsidR="0015507A" w:rsidRPr="007B58C7" w:rsidRDefault="0015507A" w:rsidP="00B95F8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4AB2ED5D" w14:textId="77777777" w:rsidR="0015507A" w:rsidRPr="00345A86" w:rsidRDefault="0015507A" w:rsidP="00B95F86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                   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Městys Choltice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                Mgr. Tomáš Bolek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                 starosta městyse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4D48E386" w14:textId="77777777" w:rsidR="0015507A" w:rsidRDefault="0015507A" w:rsidP="00B95F86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4D6440" w14:textId="77777777" w:rsidR="0015507A" w:rsidRPr="00345A86" w:rsidRDefault="0015507A" w:rsidP="00B95F86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40B9330" w14:textId="77777777" w:rsidR="0015507A" w:rsidRDefault="0015507A" w:rsidP="00B95F8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3B1A6B29" w14:textId="77777777" w:rsidR="0015507A" w:rsidRPr="00120F18" w:rsidRDefault="0015507A" w:rsidP="00B95F8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oprávněná</w:t>
            </w:r>
          </w:p>
          <w:p w14:paraId="7F8DDA22" w14:textId="77777777" w:rsidR="0015507A" w:rsidRPr="00345A86" w:rsidRDefault="0015507A" w:rsidP="00B95F86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FF64D2C" w14:textId="77777777" w:rsidR="0015507A" w:rsidRPr="00345A86" w:rsidRDefault="0015507A" w:rsidP="00B95F86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6FB96E2" w14:textId="77777777" w:rsidR="0015507A" w:rsidRPr="00345A86" w:rsidRDefault="0015507A" w:rsidP="00B95F86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CD8265C" w14:textId="77777777" w:rsidR="0015507A" w:rsidRPr="00345A86" w:rsidRDefault="0015507A" w:rsidP="00B95F86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B444B20" w14:textId="77777777" w:rsidR="0015507A" w:rsidRPr="00345A86" w:rsidRDefault="0015507A" w:rsidP="00B95F86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7602CAD6" w14:textId="77777777" w:rsidR="0015507A" w:rsidRDefault="0015507A" w:rsidP="00B95F8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 xml:space="preserve">                ČEZ Distribuce, a. s.</w:t>
            </w:r>
          </w:p>
          <w:p w14:paraId="642C6721" w14:textId="77777777" w:rsidR="0015507A" w:rsidRDefault="0015507A" w:rsidP="00B95F8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 xml:space="preserve">                Zmocněný zástupce:</w:t>
            </w:r>
          </w:p>
          <w:p w14:paraId="167D52B4" w14:textId="77777777" w:rsidR="0015507A" w:rsidRDefault="0015507A" w:rsidP="00B95F8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 xml:space="preserve">        PEN – projekty energetiky, s.r.o.</w:t>
            </w:r>
          </w:p>
          <w:p w14:paraId="60DA8494" w14:textId="77777777" w:rsidR="0015507A" w:rsidRPr="00345A86" w:rsidRDefault="0015507A" w:rsidP="00B95F86">
            <w:pPr>
              <w:tabs>
                <w:tab w:val="left" w:pos="1020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 xml:space="preserve">                  Bc. Josef Bouček</w:t>
            </w:r>
          </w:p>
          <w:p w14:paraId="3A1CFCA8" w14:textId="77777777" w:rsidR="0015507A" w:rsidRPr="00345A86" w:rsidRDefault="0015507A" w:rsidP="00B95F86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             prokurista společnosti</w:t>
            </w:r>
          </w:p>
          <w:p w14:paraId="0515792C" w14:textId="77777777" w:rsidR="0015507A" w:rsidRDefault="0015507A" w:rsidP="00B95F86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703CA077" w14:textId="77777777" w:rsidR="0015507A" w:rsidRDefault="0015507A" w:rsidP="0015507A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0E4DC68" w14:textId="77777777" w:rsidR="0015507A" w:rsidRDefault="0015507A" w:rsidP="0015507A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</w:t>
      </w:r>
      <w:r>
        <w:rPr>
          <w:rFonts w:ascii="Arial" w:hAnsi="Arial" w:cs="Arial"/>
          <w:sz w:val="22"/>
          <w:szCs w:val="22"/>
          <w:lang w:eastAsia="cs-CZ"/>
        </w:rPr>
        <w:t>Datum: ……………………….                                Datum: ……………………….</w:t>
      </w:r>
    </w:p>
    <w:p w14:paraId="46E86044" w14:textId="77777777" w:rsidR="0015507A" w:rsidRPr="005D5EF5" w:rsidRDefault="0015507A" w:rsidP="0015507A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5BC1EC6A" w14:textId="77777777" w:rsidR="0015507A" w:rsidRDefault="0015507A" w:rsidP="0015507A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399784EF" w14:textId="77777777" w:rsidR="0015507A" w:rsidRPr="005D5EF5" w:rsidRDefault="0015507A" w:rsidP="0015507A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04D3AA48" w14:textId="77777777" w:rsidR="0015507A" w:rsidRPr="003E08EF" w:rsidRDefault="0015507A" w:rsidP="0015507A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 w:rsidRPr="003E08EF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Kontakt:</w:t>
      </w:r>
    </w:p>
    <w:p w14:paraId="47383D62" w14:textId="77777777" w:rsidR="0015507A" w:rsidRPr="003E08EF" w:rsidRDefault="0015507A" w:rsidP="0015507A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397BF67" w14:textId="77777777" w:rsidR="0015507A" w:rsidRPr="003E08EF" w:rsidRDefault="0015507A" w:rsidP="0015507A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E08EF">
        <w:rPr>
          <w:rFonts w:ascii="Arial" w:eastAsia="Times New Roman" w:hAnsi="Arial" w:cs="Arial"/>
          <w:sz w:val="20"/>
          <w:szCs w:val="20"/>
          <w:lang w:eastAsia="cs-CZ"/>
        </w:rPr>
        <w:t>Tel.: …………………………………………………</w:t>
      </w:r>
      <w:proofErr w:type="gramStart"/>
      <w:r w:rsidRPr="003E08EF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proofErr w:type="gramEnd"/>
      <w:r w:rsidRPr="003E08E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F96B458" w14:textId="77777777" w:rsidR="0015507A" w:rsidRPr="003E08EF" w:rsidRDefault="0015507A" w:rsidP="0015507A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391A3AE" w14:textId="77777777" w:rsidR="0015507A" w:rsidRPr="003E08EF" w:rsidRDefault="0015507A" w:rsidP="0015507A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E08EF">
        <w:rPr>
          <w:rFonts w:ascii="Arial" w:eastAsia="Times New Roman" w:hAnsi="Arial" w:cs="Arial"/>
          <w:sz w:val="20"/>
          <w:szCs w:val="20"/>
          <w:lang w:eastAsia="cs-CZ"/>
        </w:rPr>
        <w:t>Email: ………………………………………………</w:t>
      </w:r>
      <w:proofErr w:type="gramStart"/>
      <w:r w:rsidRPr="003E08EF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proofErr w:type="gramEnd"/>
      <w:r w:rsidRPr="003E08E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4FF72E8" w14:textId="77777777" w:rsidR="000F45FD" w:rsidRPr="00A303F9" w:rsidRDefault="000F45FD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0F45FD" w:rsidRPr="00A303F9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96F4" w14:textId="77777777" w:rsidR="0078720E" w:rsidRDefault="0078720E">
      <w:r>
        <w:separator/>
      </w:r>
    </w:p>
  </w:endnote>
  <w:endnote w:type="continuationSeparator" w:id="0">
    <w:p w14:paraId="1720B1CD" w14:textId="77777777" w:rsidR="0078720E" w:rsidRDefault="0078720E">
      <w:r>
        <w:continuationSeparator/>
      </w:r>
    </w:p>
  </w:endnote>
  <w:endnote w:type="continuationNotice" w:id="1">
    <w:p w14:paraId="4536FF33" w14:textId="77777777" w:rsidR="0078720E" w:rsidRDefault="00787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E1A0" w14:textId="77777777" w:rsidR="0078720E" w:rsidRDefault="0078720E">
      <w:r>
        <w:separator/>
      </w:r>
    </w:p>
  </w:footnote>
  <w:footnote w:type="continuationSeparator" w:id="0">
    <w:p w14:paraId="783BEC7F" w14:textId="77777777" w:rsidR="0078720E" w:rsidRDefault="0078720E">
      <w:r>
        <w:continuationSeparator/>
      </w:r>
    </w:p>
  </w:footnote>
  <w:footnote w:type="continuationNotice" w:id="1">
    <w:p w14:paraId="6DA2A175" w14:textId="77777777" w:rsidR="0078720E" w:rsidRDefault="00787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364480/IV-12-2030755/</w:t>
    </w:r>
    <w:proofErr w:type="spellStart"/>
    <w:r w:rsidR="00F37B84" w:rsidRPr="00712EEF">
      <w:rPr>
        <w:rFonts w:ascii="Arial Black" w:hAnsi="Arial Black"/>
        <w:sz w:val="16"/>
      </w:rPr>
      <w:t>PA_Choltice</w:t>
    </w:r>
    <w:proofErr w:type="spellEnd"/>
    <w:r w:rsidR="00F37B84" w:rsidRPr="00712EEF">
      <w:rPr>
        <w:rFonts w:ascii="Arial Black" w:hAnsi="Arial Black"/>
        <w:sz w:val="16"/>
      </w:rPr>
      <w:t xml:space="preserve">, </w:t>
    </w:r>
    <w:proofErr w:type="spellStart"/>
    <w:r w:rsidR="00F37B84" w:rsidRPr="00712EEF">
      <w:rPr>
        <w:rFonts w:ascii="Arial Black" w:hAnsi="Arial Black"/>
        <w:sz w:val="16"/>
      </w:rPr>
      <w:t>č.parc</w:t>
    </w:r>
    <w:proofErr w:type="spellEnd"/>
    <w:r w:rsidR="00F37B84" w:rsidRPr="00712EEF">
      <w:rPr>
        <w:rFonts w:ascii="Arial Black" w:hAnsi="Arial Black"/>
        <w:sz w:val="16"/>
      </w:rPr>
      <w:t>. 767/29-KNN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12190922">
    <w:abstractNumId w:val="7"/>
  </w:num>
  <w:num w:numId="2" w16cid:durableId="1263301878">
    <w:abstractNumId w:val="5"/>
  </w:num>
  <w:num w:numId="3" w16cid:durableId="1795438306">
    <w:abstractNumId w:val="3"/>
  </w:num>
  <w:num w:numId="4" w16cid:durableId="1920824102">
    <w:abstractNumId w:val="2"/>
  </w:num>
  <w:num w:numId="5" w16cid:durableId="652639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3187">
    <w:abstractNumId w:val="8"/>
  </w:num>
  <w:num w:numId="7" w16cid:durableId="2043282709">
    <w:abstractNumId w:val="8"/>
  </w:num>
  <w:num w:numId="8" w16cid:durableId="829759937">
    <w:abstractNumId w:val="6"/>
  </w:num>
  <w:num w:numId="9" w16cid:durableId="103307996">
    <w:abstractNumId w:val="4"/>
  </w:num>
  <w:num w:numId="10" w16cid:durableId="1291398347">
    <w:abstractNumId w:val="10"/>
  </w:num>
  <w:num w:numId="11" w16cid:durableId="167721519">
    <w:abstractNumId w:val="0"/>
  </w:num>
  <w:num w:numId="12" w16cid:durableId="2134325920">
    <w:abstractNumId w:val="1"/>
  </w:num>
  <w:num w:numId="13" w16cid:durableId="1349334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14D9B"/>
    <w:rsid w:val="000267CF"/>
    <w:rsid w:val="00036A21"/>
    <w:rsid w:val="000428E3"/>
    <w:rsid w:val="0004314D"/>
    <w:rsid w:val="000502AB"/>
    <w:rsid w:val="000521E7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0F2EE7"/>
    <w:rsid w:val="000F45FD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274C2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5507A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D14DB"/>
    <w:rsid w:val="001E068F"/>
    <w:rsid w:val="001E66D0"/>
    <w:rsid w:val="001E7084"/>
    <w:rsid w:val="001F0CC1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C0A96"/>
    <w:rsid w:val="002C45A6"/>
    <w:rsid w:val="002C4857"/>
    <w:rsid w:val="002D1957"/>
    <w:rsid w:val="002E72A1"/>
    <w:rsid w:val="00302C80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A5806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30D74"/>
    <w:rsid w:val="004345F4"/>
    <w:rsid w:val="004428A4"/>
    <w:rsid w:val="00446180"/>
    <w:rsid w:val="00446E76"/>
    <w:rsid w:val="00450DCD"/>
    <w:rsid w:val="004511CB"/>
    <w:rsid w:val="00453521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69E9"/>
    <w:rsid w:val="004C70F0"/>
    <w:rsid w:val="004D18B6"/>
    <w:rsid w:val="004E3174"/>
    <w:rsid w:val="004E48FC"/>
    <w:rsid w:val="004E4971"/>
    <w:rsid w:val="004E52CB"/>
    <w:rsid w:val="004E6870"/>
    <w:rsid w:val="004E7742"/>
    <w:rsid w:val="00501878"/>
    <w:rsid w:val="0050220E"/>
    <w:rsid w:val="005022C7"/>
    <w:rsid w:val="00502EE1"/>
    <w:rsid w:val="00504498"/>
    <w:rsid w:val="00505D63"/>
    <w:rsid w:val="0051263F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877C1"/>
    <w:rsid w:val="0059537A"/>
    <w:rsid w:val="005A0059"/>
    <w:rsid w:val="005A151A"/>
    <w:rsid w:val="005A301B"/>
    <w:rsid w:val="005A3935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578"/>
    <w:rsid w:val="00603700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5769E"/>
    <w:rsid w:val="0066543B"/>
    <w:rsid w:val="00672C31"/>
    <w:rsid w:val="006816FD"/>
    <w:rsid w:val="00685B2E"/>
    <w:rsid w:val="0068614D"/>
    <w:rsid w:val="0069214E"/>
    <w:rsid w:val="0069269D"/>
    <w:rsid w:val="00696D4D"/>
    <w:rsid w:val="006A0155"/>
    <w:rsid w:val="006A3AF9"/>
    <w:rsid w:val="006B058F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D52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0C48"/>
    <w:rsid w:val="00781D99"/>
    <w:rsid w:val="0078720E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E15C4"/>
    <w:rsid w:val="007E1B75"/>
    <w:rsid w:val="007E4992"/>
    <w:rsid w:val="007E5E52"/>
    <w:rsid w:val="007F0201"/>
    <w:rsid w:val="007F07FF"/>
    <w:rsid w:val="007F52F7"/>
    <w:rsid w:val="007F6627"/>
    <w:rsid w:val="0080699F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76EA5"/>
    <w:rsid w:val="008803D1"/>
    <w:rsid w:val="00881B5A"/>
    <w:rsid w:val="00894EFA"/>
    <w:rsid w:val="008A77BE"/>
    <w:rsid w:val="008B3DFA"/>
    <w:rsid w:val="008C6D72"/>
    <w:rsid w:val="008D0CCE"/>
    <w:rsid w:val="008D4D73"/>
    <w:rsid w:val="008D6103"/>
    <w:rsid w:val="008E45C3"/>
    <w:rsid w:val="008F2565"/>
    <w:rsid w:val="00902A7D"/>
    <w:rsid w:val="0090356E"/>
    <w:rsid w:val="00904A07"/>
    <w:rsid w:val="0090582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7C9C"/>
    <w:rsid w:val="009A0C4E"/>
    <w:rsid w:val="009A5F41"/>
    <w:rsid w:val="009A669A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1E3E"/>
    <w:rsid w:val="00A13FA5"/>
    <w:rsid w:val="00A14773"/>
    <w:rsid w:val="00A21CC7"/>
    <w:rsid w:val="00A21E9C"/>
    <w:rsid w:val="00A229C2"/>
    <w:rsid w:val="00A248CD"/>
    <w:rsid w:val="00A303F9"/>
    <w:rsid w:val="00A37F44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6666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092F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1131"/>
    <w:rsid w:val="00B93647"/>
    <w:rsid w:val="00B953F7"/>
    <w:rsid w:val="00B95B8A"/>
    <w:rsid w:val="00B97ED5"/>
    <w:rsid w:val="00BA277B"/>
    <w:rsid w:val="00BA4886"/>
    <w:rsid w:val="00BA6442"/>
    <w:rsid w:val="00BB4CC4"/>
    <w:rsid w:val="00BC0E50"/>
    <w:rsid w:val="00BC3431"/>
    <w:rsid w:val="00BC6BC8"/>
    <w:rsid w:val="00BC7EB6"/>
    <w:rsid w:val="00BE1478"/>
    <w:rsid w:val="00BE1736"/>
    <w:rsid w:val="00BE27A3"/>
    <w:rsid w:val="00BE4002"/>
    <w:rsid w:val="00BE57D0"/>
    <w:rsid w:val="00BF545D"/>
    <w:rsid w:val="00C00780"/>
    <w:rsid w:val="00C054EC"/>
    <w:rsid w:val="00C06F21"/>
    <w:rsid w:val="00C11ECC"/>
    <w:rsid w:val="00C14BFD"/>
    <w:rsid w:val="00C14D80"/>
    <w:rsid w:val="00C14EEC"/>
    <w:rsid w:val="00C20C15"/>
    <w:rsid w:val="00C24EAD"/>
    <w:rsid w:val="00C269FA"/>
    <w:rsid w:val="00C31761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67EA9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0267"/>
    <w:rsid w:val="00CB40BE"/>
    <w:rsid w:val="00CB5152"/>
    <w:rsid w:val="00CB5C40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4FAE"/>
    <w:rsid w:val="00D05983"/>
    <w:rsid w:val="00D05E17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2726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7F6"/>
    <w:rsid w:val="00D93F06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A7F"/>
    <w:rsid w:val="00DF7B3A"/>
    <w:rsid w:val="00E11BD2"/>
    <w:rsid w:val="00E15B59"/>
    <w:rsid w:val="00E220D2"/>
    <w:rsid w:val="00E222C2"/>
    <w:rsid w:val="00E30EE6"/>
    <w:rsid w:val="00E47471"/>
    <w:rsid w:val="00E50014"/>
    <w:rsid w:val="00E54F04"/>
    <w:rsid w:val="00E55BEC"/>
    <w:rsid w:val="00E61E72"/>
    <w:rsid w:val="00E65046"/>
    <w:rsid w:val="00E72300"/>
    <w:rsid w:val="00E7476B"/>
    <w:rsid w:val="00E84583"/>
    <w:rsid w:val="00E9002D"/>
    <w:rsid w:val="00E923A9"/>
    <w:rsid w:val="00E93B10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0479"/>
    <w:rsid w:val="00FD34F8"/>
    <w:rsid w:val="00FD429D"/>
    <w:rsid w:val="00FD54B7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2025-04-10T10:54:00Z</dcterms:created>
  <dcterms:modified xsi:type="dcterms:W3CDTF">2026-01-06T12:48:00Z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